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APPRAISAL CONTINGENCY ADDENDUM</w:t>
      </w:r>
    </w:p>
    <w:p>
      <w:pPr>
        <w:pStyle w:val="BodyText"/>
        <w:spacing w:before="9"/>
        <w:rPr>
          <w:b/>
          <w:sz w:val="23"/>
        </w:rPr>
      </w:pPr>
    </w:p>
    <w:p>
      <w:pPr>
        <w:pStyle w:val="BodyText"/>
        <w:ind w:left="1019"/>
      </w:pPr>
      <w:r>
        <w:rPr/>
        <w:t>THIS APPRAISAL CONTINGENCY ADDENDUM (this “</w:t>
      </w:r>
      <w:r>
        <w:rPr>
          <w:b/>
        </w:rPr>
        <w:t>Addendum</w:t>
      </w:r>
      <w:r>
        <w:rPr/>
        <w:t>”) is made and</w:t>
      </w:r>
    </w:p>
    <w:p>
      <w:pPr>
        <w:spacing w:after="0"/>
        <w:sectPr>
          <w:footerReference w:type="default" r:id="rId5"/>
          <w:type w:val="continuous"/>
          <w:pgSz w:w="12240" w:h="15840"/>
          <w:pgMar w:footer="1300" w:top="1360" w:bottom="1480" w:left="1140" w:right="1320"/>
          <w:pgNumType w:start="1"/>
        </w:sectPr>
      </w:pPr>
    </w:p>
    <w:p>
      <w:pPr>
        <w:pStyle w:val="BodyText"/>
        <w:tabs>
          <w:tab w:pos="1318" w:val="left" w:leader="none"/>
          <w:tab w:pos="2003" w:val="left" w:leader="none"/>
          <w:tab w:pos="2516" w:val="left" w:leader="none"/>
          <w:tab w:pos="3027" w:val="left" w:leader="none"/>
          <w:tab w:pos="6147" w:val="left" w:leader="none"/>
        </w:tabs>
        <w:ind w:left="299"/>
      </w:pPr>
      <w:r>
        <w:rPr/>
        <w:t>entered</w:t>
        <w:tab/>
        <w:t>into</w:t>
        <w:tab/>
        <w:t>as</w:t>
        <w:tab/>
        <w:t>of</w:t>
        <w:tab/>
      </w:r>
      <w:r>
        <w:rPr>
          <w:u w:val="single"/>
        </w:rPr>
        <w:t> </w:t>
        <w:tab/>
      </w:r>
      <w:r>
        <w:rPr>
          <w:spacing w:val="-20"/>
        </w:rPr>
        <w:t>,</w:t>
      </w:r>
    </w:p>
    <w:p>
      <w:pPr>
        <w:spacing w:before="0"/>
        <w:ind w:left="272" w:right="0" w:firstLine="0"/>
        <w:jc w:val="left"/>
        <w:rPr>
          <w:sz w:val="24"/>
        </w:rPr>
      </w:pPr>
      <w:r>
        <w:rPr/>
        <w:br w:type="column"/>
      </w:r>
      <w:r>
        <w:rPr>
          <w:sz w:val="24"/>
        </w:rPr>
        <w:t>and</w:t>
      </w:r>
    </w:p>
    <w:p>
      <w:pPr>
        <w:pStyle w:val="BodyText"/>
        <w:tabs>
          <w:tab w:pos="743" w:val="left" w:leader="none"/>
        </w:tabs>
        <w:ind w:left="271"/>
      </w:pPr>
      <w:r>
        <w:rPr/>
        <w:br w:type="column"/>
      </w:r>
      <w:r>
        <w:rPr/>
        <w:t>is</w:t>
        <w:tab/>
      </w:r>
      <w:r>
        <w:rPr>
          <w:spacing w:val="-10"/>
        </w:rPr>
        <w:t>by</w:t>
      </w:r>
    </w:p>
    <w:p>
      <w:pPr>
        <w:pStyle w:val="BodyText"/>
        <w:tabs>
          <w:tab w:pos="930" w:val="left" w:leader="none"/>
        </w:tabs>
        <w:ind w:left="271"/>
      </w:pPr>
      <w:r>
        <w:rPr/>
        <w:br w:type="column"/>
      </w:r>
      <w:r>
        <w:rPr/>
        <w:t>and</w:t>
        <w:tab/>
        <w:t>between</w:t>
      </w:r>
    </w:p>
    <w:p>
      <w:pPr>
        <w:spacing w:after="0"/>
        <w:sectPr>
          <w:type w:val="continuous"/>
          <w:pgSz w:w="12240" w:h="15840"/>
          <w:pgMar w:top="1360" w:bottom="1480" w:left="1140" w:right="1320"/>
          <w:cols w:num="4" w:equalWidth="0">
            <w:col w:w="6208" w:space="40"/>
            <w:col w:w="619" w:space="39"/>
            <w:col w:w="984" w:space="40"/>
            <w:col w:w="1850"/>
          </w:cols>
        </w:sectPr>
      </w:pPr>
    </w:p>
    <w:p>
      <w:pPr>
        <w:pStyle w:val="BodyText"/>
        <w:tabs>
          <w:tab w:pos="3539" w:val="left" w:leader="none"/>
          <w:tab w:pos="3825" w:val="left" w:leader="none"/>
          <w:tab w:pos="4478" w:val="left" w:leader="none"/>
          <w:tab w:pos="4810" w:val="left" w:leader="none"/>
          <w:tab w:pos="5769" w:val="left" w:leader="none"/>
          <w:tab w:pos="6715" w:val="left" w:leader="none"/>
          <w:tab w:pos="7139" w:val="left" w:leader="none"/>
          <w:tab w:pos="9659" w:val="left" w:leader="none"/>
        </w:tabs>
        <w:ind w:left="299"/>
      </w:pPr>
      <w:r>
        <w:rPr>
          <w:u w:val="single"/>
        </w:rPr>
        <w:t> </w:t>
        <w:tab/>
      </w:r>
      <w:r>
        <w:rPr/>
        <w:t>,</w:t>
        <w:tab/>
        <w:t>with</w:t>
        <w:tab/>
        <w:t>a</w:t>
        <w:tab/>
        <w:t>mailing</w:t>
        <w:tab/>
        <w:t>address</w:t>
        <w:tab/>
        <w:t>of</w:t>
        <w:tab/>
      </w:r>
      <w:r>
        <w:rPr>
          <w:u w:val="single"/>
        </w:rPr>
        <w:t> </w:t>
        <w:tab/>
      </w:r>
    </w:p>
    <w:p>
      <w:pPr>
        <w:spacing w:after="0"/>
        <w:sectPr>
          <w:type w:val="continuous"/>
          <w:pgSz w:w="12240" w:h="15840"/>
          <w:pgMar w:top="1360" w:bottom="1480" w:left="1140" w:right="1320"/>
        </w:sectPr>
      </w:pPr>
    </w:p>
    <w:p>
      <w:pPr>
        <w:pStyle w:val="BodyText"/>
        <w:tabs>
          <w:tab w:pos="1797" w:val="left" w:leader="none"/>
          <w:tab w:pos="2582" w:val="left" w:leader="none"/>
          <w:tab w:pos="5222" w:val="left" w:leader="none"/>
          <w:tab w:pos="5720" w:val="left" w:leader="none"/>
          <w:tab w:pos="6585" w:val="left" w:leader="none"/>
        </w:tabs>
        <w:ind w:left="299"/>
      </w:pPr>
      <w:r>
        <w:rPr/>
        <w:t>(“</w:t>
      </w:r>
      <w:r>
        <w:rPr>
          <w:b/>
        </w:rPr>
        <w:t>Buyer</w:t>
      </w:r>
      <w:r>
        <w:rPr/>
        <w:t>”),</w:t>
        <w:tab/>
        <w:t>and</w:t>
        <w:tab/>
      </w:r>
      <w:r>
        <w:rPr>
          <w:u w:val="single"/>
        </w:rPr>
        <w:t> </w:t>
        <w:tab/>
      </w:r>
      <w:r>
        <w:rPr/>
        <w:t>,</w:t>
        <w:tab/>
        <w:t>with</w:t>
        <w:tab/>
        <w:t>a</w:t>
      </w:r>
    </w:p>
    <w:p>
      <w:pPr>
        <w:tabs>
          <w:tab w:pos="4019" w:val="left" w:leader="none"/>
        </w:tabs>
        <w:spacing w:before="0"/>
        <w:ind w:left="299" w:right="0" w:firstLine="0"/>
        <w:jc w:val="left"/>
        <w:rPr>
          <w:sz w:val="24"/>
        </w:rPr>
      </w:pPr>
      <w:r>
        <w:rPr>
          <w:sz w:val="24"/>
          <w:u w:val="single"/>
        </w:rPr>
        <w:t> </w:t>
        <w:tab/>
      </w:r>
      <w:r>
        <w:rPr>
          <w:sz w:val="24"/>
        </w:rPr>
        <w:t> (“</w:t>
      </w:r>
      <w:r>
        <w:rPr>
          <w:b/>
          <w:sz w:val="24"/>
        </w:rPr>
        <w:t>Seller</w:t>
      </w:r>
      <w:r>
        <w:rPr>
          <w:sz w:val="24"/>
        </w:rPr>
        <w:t>”).</w:t>
      </w:r>
    </w:p>
    <w:p>
      <w:pPr>
        <w:pStyle w:val="BodyText"/>
        <w:ind w:left="299"/>
      </w:pPr>
      <w:r>
        <w:rPr/>
        <w:br w:type="column"/>
      </w:r>
      <w:r>
        <w:rPr/>
        <w:t>mailing</w:t>
      </w:r>
    </w:p>
    <w:p>
      <w:pPr>
        <w:pStyle w:val="BodyText"/>
        <w:tabs>
          <w:tab w:pos="1458" w:val="left" w:leader="none"/>
        </w:tabs>
        <w:ind w:left="299"/>
      </w:pPr>
      <w:r>
        <w:rPr/>
        <w:br w:type="column"/>
      </w:r>
      <w:r>
        <w:rPr/>
        <w:t>address</w:t>
        <w:tab/>
        <w:t>of</w:t>
      </w:r>
    </w:p>
    <w:p>
      <w:pPr>
        <w:spacing w:after="0"/>
        <w:sectPr>
          <w:type w:val="continuous"/>
          <w:pgSz w:w="12240" w:h="15840"/>
          <w:pgMar w:top="1360" w:bottom="1480" w:left="1140" w:right="1320"/>
          <w:cols w:num="3" w:equalWidth="0">
            <w:col w:w="6733" w:space="99"/>
            <w:col w:w="1074" w:space="97"/>
            <w:col w:w="1777"/>
          </w:cols>
        </w:sectPr>
      </w:pPr>
    </w:p>
    <w:p>
      <w:pPr>
        <w:pStyle w:val="BodyText"/>
        <w:spacing w:before="2"/>
        <w:rPr>
          <w:sz w:val="16"/>
        </w:rPr>
      </w:pPr>
    </w:p>
    <w:p>
      <w:pPr>
        <w:pStyle w:val="BodyText"/>
        <w:spacing w:before="90"/>
        <w:ind w:left="2584" w:right="2406"/>
        <w:jc w:val="center"/>
      </w:pPr>
      <w:r>
        <w:rPr/>
        <w:t>RECITALS</w:t>
      </w:r>
    </w:p>
    <w:p>
      <w:pPr>
        <w:pStyle w:val="BodyText"/>
      </w:pPr>
    </w:p>
    <w:p>
      <w:pPr>
        <w:pStyle w:val="BodyText"/>
        <w:ind w:right="115"/>
        <w:jc w:val="right"/>
      </w:pPr>
      <w:r>
        <w:rPr/>
        <w:t>WHEREAS, Buyer and Seller are parties to that certain contract or agreement dated as</w:t>
      </w:r>
      <w:r>
        <w:rPr>
          <w:spacing w:val="42"/>
        </w:rPr>
        <w:t> </w:t>
      </w:r>
      <w:r>
        <w:rPr/>
        <w:t>of</w:t>
      </w:r>
    </w:p>
    <w:p>
      <w:pPr>
        <w:pStyle w:val="BodyText"/>
        <w:tabs>
          <w:tab w:pos="2639" w:val="left" w:leader="none"/>
        </w:tabs>
        <w:ind w:right="118"/>
        <w:jc w:val="right"/>
      </w:pPr>
      <w:r>
        <w:rPr>
          <w:u w:val="single"/>
        </w:rPr>
        <w:t> </w:t>
        <w:tab/>
      </w:r>
      <w:r>
        <w:rPr>
          <w:spacing w:val="26"/>
        </w:rPr>
        <w:t> </w:t>
      </w:r>
      <w:r>
        <w:rPr/>
        <w:t>(the</w:t>
      </w:r>
      <w:r>
        <w:rPr>
          <w:spacing w:val="24"/>
        </w:rPr>
        <w:t> </w:t>
      </w:r>
      <w:r>
        <w:rPr/>
        <w:t>“</w:t>
      </w:r>
      <w:r>
        <w:rPr>
          <w:b/>
        </w:rPr>
        <w:t>Agreement</w:t>
      </w:r>
      <w:r>
        <w:rPr/>
        <w:t>”)</w:t>
      </w:r>
      <w:r>
        <w:rPr>
          <w:spacing w:val="25"/>
        </w:rPr>
        <w:t> </w:t>
      </w:r>
      <w:r>
        <w:rPr/>
        <w:t>for</w:t>
      </w:r>
      <w:r>
        <w:rPr>
          <w:spacing w:val="24"/>
        </w:rPr>
        <w:t> </w:t>
      </w:r>
      <w:r>
        <w:rPr/>
        <w:t>the</w:t>
      </w:r>
      <w:r>
        <w:rPr>
          <w:spacing w:val="25"/>
        </w:rPr>
        <w:t> </w:t>
      </w:r>
      <w:r>
        <w:rPr/>
        <w:t>purchase</w:t>
      </w:r>
      <w:r>
        <w:rPr>
          <w:spacing w:val="24"/>
        </w:rPr>
        <w:t> </w:t>
      </w:r>
      <w:r>
        <w:rPr/>
        <w:t>and</w:t>
      </w:r>
      <w:r>
        <w:rPr>
          <w:spacing w:val="25"/>
        </w:rPr>
        <w:t> </w:t>
      </w:r>
      <w:r>
        <w:rPr/>
        <w:t>sale</w:t>
      </w:r>
      <w:r>
        <w:rPr>
          <w:spacing w:val="23"/>
        </w:rPr>
        <w:t> </w:t>
      </w:r>
      <w:r>
        <w:rPr/>
        <w:t>of</w:t>
      </w:r>
      <w:r>
        <w:rPr>
          <w:spacing w:val="24"/>
        </w:rPr>
        <w:t> </w:t>
      </w:r>
      <w:r>
        <w:rPr/>
        <w:t>real</w:t>
      </w:r>
      <w:r>
        <w:rPr>
          <w:spacing w:val="24"/>
        </w:rPr>
        <w:t> </w:t>
      </w:r>
      <w:r>
        <w:rPr/>
        <w:t>estate,</w:t>
      </w:r>
      <w:r>
        <w:rPr>
          <w:spacing w:val="25"/>
        </w:rPr>
        <w:t> </w:t>
      </w:r>
      <w:r>
        <w:rPr/>
        <w:t>for</w:t>
      </w:r>
      <w:r>
        <w:rPr>
          <w:spacing w:val="25"/>
        </w:rPr>
        <w:t> </w:t>
      </w:r>
      <w:r>
        <w:rPr/>
        <w:t>the</w:t>
      </w:r>
    </w:p>
    <w:p>
      <w:pPr>
        <w:spacing w:after="0"/>
        <w:jc w:val="right"/>
        <w:sectPr>
          <w:type w:val="continuous"/>
          <w:pgSz w:w="12240" w:h="15840"/>
          <w:pgMar w:top="1360" w:bottom="1480" w:left="1140" w:right="1320"/>
        </w:sectPr>
      </w:pPr>
    </w:p>
    <w:p>
      <w:pPr>
        <w:pStyle w:val="BodyText"/>
        <w:tabs>
          <w:tab w:pos="9136" w:val="left" w:leader="none"/>
        </w:tabs>
        <w:ind w:left="299"/>
      </w:pPr>
      <w:r>
        <w:rPr/>
        <w:t>property   known   by   street</w:t>
      </w:r>
      <w:r>
        <w:rPr>
          <w:spacing w:val="-13"/>
        </w:rPr>
        <w:t> </w:t>
      </w:r>
      <w:r>
        <w:rPr/>
        <w:t>address </w:t>
      </w:r>
      <w:r>
        <w:rPr>
          <w:spacing w:val="26"/>
        </w:rPr>
        <w:t> </w:t>
      </w:r>
      <w:r>
        <w:rPr/>
        <w:t>as </w:t>
      </w:r>
      <w:r>
        <w:rPr>
          <w:spacing w:val="29"/>
        </w:rPr>
        <w:t> </w:t>
      </w:r>
      <w:r>
        <w:rPr>
          <w:u w:val="single"/>
        </w:rPr>
        <w:t> </w:t>
        <w:tab/>
      </w:r>
      <w:r>
        <w:rPr/>
        <w:t> “</w:t>
      </w:r>
      <w:r>
        <w:rPr>
          <w:b/>
        </w:rPr>
        <w:t>Property</w:t>
      </w:r>
      <w:r>
        <w:rPr/>
        <w:t>”)</w:t>
      </w:r>
    </w:p>
    <w:p>
      <w:pPr>
        <w:pStyle w:val="BodyText"/>
        <w:ind w:left="108"/>
      </w:pPr>
      <w:r>
        <w:rPr/>
        <w:br w:type="column"/>
      </w:r>
      <w:r>
        <w:rPr/>
        <w:t>(the</w:t>
      </w:r>
    </w:p>
    <w:p>
      <w:pPr>
        <w:spacing w:after="0"/>
        <w:sectPr>
          <w:type w:val="continuous"/>
          <w:pgSz w:w="12240" w:h="15840"/>
          <w:pgMar w:top="1360" w:bottom="1480" w:left="1140" w:right="1320"/>
          <w:cols w:num="2" w:equalWidth="0">
            <w:col w:w="9137" w:space="40"/>
            <w:col w:w="603"/>
          </w:cols>
        </w:sectPr>
      </w:pPr>
    </w:p>
    <w:p>
      <w:pPr>
        <w:pStyle w:val="BodyText"/>
        <w:spacing w:before="2"/>
        <w:rPr>
          <w:sz w:val="16"/>
        </w:rPr>
      </w:pPr>
    </w:p>
    <w:p>
      <w:pPr>
        <w:pStyle w:val="BodyText"/>
        <w:spacing w:before="90"/>
        <w:ind w:left="299" w:right="117" w:firstLine="720"/>
        <w:jc w:val="both"/>
      </w:pPr>
      <w:r>
        <w:rPr/>
        <w:t>WHEREAS, Buyer and Seller agree that Buyer shall have an appraisal contingency under the Agreement, in accordance with the terms and provisions of this Addendum.</w:t>
      </w:r>
    </w:p>
    <w:p>
      <w:pPr>
        <w:pStyle w:val="BodyText"/>
      </w:pPr>
    </w:p>
    <w:p>
      <w:pPr>
        <w:pStyle w:val="BodyText"/>
        <w:ind w:left="299" w:right="117" w:firstLine="720"/>
        <w:jc w:val="both"/>
      </w:pPr>
      <w:r>
        <w:rPr/>
        <w:t>NOW, THEREFORE, in consideration of the foregoing, and for other valuable considerations, the receipt and sufficiency of which are hereby acknowledged, the parties hereto agree as follows:</w:t>
      </w:r>
    </w:p>
    <w:p>
      <w:pPr>
        <w:pStyle w:val="BodyText"/>
      </w:pPr>
    </w:p>
    <w:p>
      <w:pPr>
        <w:pStyle w:val="ListParagraph"/>
        <w:numPr>
          <w:ilvl w:val="0"/>
          <w:numId w:val="1"/>
        </w:numPr>
        <w:tabs>
          <w:tab w:pos="1740" w:val="left" w:leader="none"/>
        </w:tabs>
        <w:spacing w:line="240" w:lineRule="auto" w:before="0" w:after="0"/>
        <w:ind w:left="299" w:right="116" w:firstLine="720"/>
        <w:jc w:val="both"/>
        <w:rPr>
          <w:sz w:val="24"/>
        </w:rPr>
      </w:pPr>
      <w:r>
        <w:rPr>
          <w:sz w:val="24"/>
          <w:u w:val="single"/>
        </w:rPr>
        <w:t>Appraisal Contingency</w:t>
      </w:r>
      <w:r>
        <w:rPr>
          <w:sz w:val="24"/>
        </w:rPr>
        <w:t>. Notwithstanding any term or provision of the Agreement to the contrary, the obligation of Buyer to purchase the Property from Seller is contingent upon Buyer’s receipt of a home appraisal prepared by a qualified and licensed appraiser, which demonstrates</w:t>
      </w:r>
      <w:r>
        <w:rPr>
          <w:spacing w:val="-14"/>
          <w:sz w:val="24"/>
        </w:rPr>
        <w:t> </w:t>
      </w:r>
      <w:r>
        <w:rPr>
          <w:sz w:val="24"/>
        </w:rPr>
        <w:t>that</w:t>
      </w:r>
      <w:r>
        <w:rPr>
          <w:spacing w:val="-13"/>
          <w:sz w:val="24"/>
        </w:rPr>
        <w:t> </w:t>
      </w:r>
      <w:r>
        <w:rPr>
          <w:sz w:val="24"/>
        </w:rPr>
        <w:t>the</w:t>
      </w:r>
      <w:r>
        <w:rPr>
          <w:spacing w:val="-13"/>
          <w:sz w:val="24"/>
        </w:rPr>
        <w:t> </w:t>
      </w:r>
      <w:r>
        <w:rPr>
          <w:sz w:val="24"/>
        </w:rPr>
        <w:t>current</w:t>
      </w:r>
      <w:r>
        <w:rPr>
          <w:spacing w:val="-13"/>
          <w:sz w:val="24"/>
        </w:rPr>
        <w:t> </w:t>
      </w:r>
      <w:r>
        <w:rPr>
          <w:sz w:val="24"/>
        </w:rPr>
        <w:t>fair</w:t>
      </w:r>
      <w:r>
        <w:rPr>
          <w:spacing w:val="-13"/>
          <w:sz w:val="24"/>
        </w:rPr>
        <w:t> </w:t>
      </w:r>
      <w:r>
        <w:rPr>
          <w:sz w:val="24"/>
        </w:rPr>
        <w:t>market</w:t>
      </w:r>
      <w:r>
        <w:rPr>
          <w:spacing w:val="-13"/>
          <w:sz w:val="24"/>
        </w:rPr>
        <w:t> </w:t>
      </w:r>
      <w:r>
        <w:rPr>
          <w:sz w:val="24"/>
        </w:rPr>
        <w:t>value</w:t>
      </w:r>
      <w:r>
        <w:rPr>
          <w:spacing w:val="-13"/>
          <w:sz w:val="24"/>
        </w:rPr>
        <w:t> </w:t>
      </w:r>
      <w:r>
        <w:rPr>
          <w:sz w:val="24"/>
        </w:rPr>
        <w:t>of</w:t>
      </w:r>
      <w:r>
        <w:rPr>
          <w:spacing w:val="-14"/>
          <w:sz w:val="24"/>
        </w:rPr>
        <w:t> </w:t>
      </w:r>
      <w:r>
        <w:rPr>
          <w:sz w:val="24"/>
        </w:rPr>
        <w:t>the</w:t>
      </w:r>
      <w:r>
        <w:rPr>
          <w:spacing w:val="-13"/>
          <w:sz w:val="24"/>
        </w:rPr>
        <w:t> </w:t>
      </w:r>
      <w:r>
        <w:rPr>
          <w:sz w:val="24"/>
        </w:rPr>
        <w:t>Property</w:t>
      </w:r>
      <w:r>
        <w:rPr>
          <w:spacing w:val="-15"/>
          <w:sz w:val="24"/>
        </w:rPr>
        <w:t> </w:t>
      </w:r>
      <w:r>
        <w:rPr>
          <w:sz w:val="24"/>
        </w:rPr>
        <w:t>equals</w:t>
      </w:r>
      <w:r>
        <w:rPr>
          <w:spacing w:val="-13"/>
          <w:sz w:val="24"/>
        </w:rPr>
        <w:t> </w:t>
      </w:r>
      <w:r>
        <w:rPr>
          <w:sz w:val="24"/>
        </w:rPr>
        <w:t>or</w:t>
      </w:r>
      <w:r>
        <w:rPr>
          <w:spacing w:val="-13"/>
          <w:sz w:val="24"/>
        </w:rPr>
        <w:t> </w:t>
      </w:r>
      <w:r>
        <w:rPr>
          <w:sz w:val="24"/>
        </w:rPr>
        <w:t>exceeds</w:t>
      </w:r>
      <w:r>
        <w:rPr>
          <w:spacing w:val="-13"/>
          <w:sz w:val="24"/>
        </w:rPr>
        <w:t> </w:t>
      </w:r>
      <w:r>
        <w:rPr>
          <w:sz w:val="24"/>
        </w:rPr>
        <w:t>the</w:t>
      </w:r>
      <w:r>
        <w:rPr>
          <w:spacing w:val="-13"/>
          <w:sz w:val="24"/>
        </w:rPr>
        <w:t> </w:t>
      </w:r>
      <w:r>
        <w:rPr>
          <w:sz w:val="24"/>
        </w:rPr>
        <w:t>purchase</w:t>
      </w:r>
      <w:r>
        <w:rPr>
          <w:spacing w:val="-13"/>
          <w:sz w:val="24"/>
        </w:rPr>
        <w:t> </w:t>
      </w:r>
      <w:r>
        <w:rPr>
          <w:sz w:val="24"/>
        </w:rPr>
        <w:t>price therefor as set forth in the Agreement. Buyer shall promptly proceed with ordering and procuring the appraisal. In the event such appraised value is less than the purchase price for the Property as set forth in the Agreement, Buyer shall have the right (but not the obligation) to terminate the Agreement by providing written notice thereof to Seller. In such event, Seller shall have the right to review a copy of the appraisal report in question. In the event Buyer so terminates the Agreement,</w:t>
      </w:r>
      <w:r>
        <w:rPr>
          <w:spacing w:val="-12"/>
          <w:sz w:val="24"/>
        </w:rPr>
        <w:t> </w:t>
      </w:r>
      <w:r>
        <w:rPr>
          <w:sz w:val="24"/>
        </w:rPr>
        <w:t>Buyer</w:t>
      </w:r>
      <w:r>
        <w:rPr>
          <w:spacing w:val="-12"/>
          <w:sz w:val="24"/>
        </w:rPr>
        <w:t> </w:t>
      </w:r>
      <w:r>
        <w:rPr>
          <w:sz w:val="24"/>
        </w:rPr>
        <w:t>shall</w:t>
      </w:r>
      <w:r>
        <w:rPr>
          <w:spacing w:val="-12"/>
          <w:sz w:val="24"/>
        </w:rPr>
        <w:t> </w:t>
      </w:r>
      <w:r>
        <w:rPr>
          <w:sz w:val="24"/>
        </w:rPr>
        <w:t>receive</w:t>
      </w:r>
      <w:r>
        <w:rPr>
          <w:spacing w:val="-12"/>
          <w:sz w:val="24"/>
        </w:rPr>
        <w:t> </w:t>
      </w:r>
      <w:r>
        <w:rPr>
          <w:sz w:val="24"/>
        </w:rPr>
        <w:t>a</w:t>
      </w:r>
      <w:r>
        <w:rPr>
          <w:spacing w:val="-12"/>
          <w:sz w:val="24"/>
        </w:rPr>
        <w:t> </w:t>
      </w:r>
      <w:r>
        <w:rPr>
          <w:sz w:val="24"/>
        </w:rPr>
        <w:t>full</w:t>
      </w:r>
      <w:r>
        <w:rPr>
          <w:spacing w:val="-13"/>
          <w:sz w:val="24"/>
        </w:rPr>
        <w:t> </w:t>
      </w:r>
      <w:r>
        <w:rPr>
          <w:sz w:val="24"/>
        </w:rPr>
        <w:t>refund</w:t>
      </w:r>
      <w:r>
        <w:rPr>
          <w:spacing w:val="-12"/>
          <w:sz w:val="24"/>
        </w:rPr>
        <w:t> </w:t>
      </w:r>
      <w:r>
        <w:rPr>
          <w:sz w:val="24"/>
        </w:rPr>
        <w:t>of</w:t>
      </w:r>
      <w:r>
        <w:rPr>
          <w:spacing w:val="-13"/>
          <w:sz w:val="24"/>
        </w:rPr>
        <w:t> </w:t>
      </w:r>
      <w:r>
        <w:rPr>
          <w:sz w:val="24"/>
        </w:rPr>
        <w:t>any</w:t>
      </w:r>
      <w:r>
        <w:rPr>
          <w:spacing w:val="-12"/>
          <w:sz w:val="24"/>
        </w:rPr>
        <w:t> </w:t>
      </w:r>
      <w:r>
        <w:rPr>
          <w:sz w:val="24"/>
        </w:rPr>
        <w:t>and</w:t>
      </w:r>
      <w:r>
        <w:rPr>
          <w:spacing w:val="-12"/>
          <w:sz w:val="24"/>
        </w:rPr>
        <w:t> </w:t>
      </w:r>
      <w:r>
        <w:rPr>
          <w:sz w:val="24"/>
        </w:rPr>
        <w:t>all</w:t>
      </w:r>
      <w:r>
        <w:rPr>
          <w:spacing w:val="-12"/>
          <w:sz w:val="24"/>
        </w:rPr>
        <w:t> </w:t>
      </w:r>
      <w:r>
        <w:rPr>
          <w:sz w:val="24"/>
        </w:rPr>
        <w:t>earnest</w:t>
      </w:r>
      <w:r>
        <w:rPr>
          <w:spacing w:val="-12"/>
          <w:sz w:val="24"/>
        </w:rPr>
        <w:t> </w:t>
      </w:r>
      <w:r>
        <w:rPr>
          <w:sz w:val="24"/>
        </w:rPr>
        <w:t>money</w:t>
      </w:r>
      <w:r>
        <w:rPr>
          <w:spacing w:val="-11"/>
          <w:sz w:val="24"/>
        </w:rPr>
        <w:t> </w:t>
      </w:r>
      <w:r>
        <w:rPr>
          <w:sz w:val="24"/>
        </w:rPr>
        <w:t>deposits</w:t>
      </w:r>
      <w:r>
        <w:rPr>
          <w:spacing w:val="-13"/>
          <w:sz w:val="24"/>
        </w:rPr>
        <w:t> </w:t>
      </w:r>
      <w:r>
        <w:rPr>
          <w:sz w:val="24"/>
        </w:rPr>
        <w:t>(the</w:t>
      </w:r>
      <w:r>
        <w:rPr>
          <w:spacing w:val="-13"/>
          <w:sz w:val="24"/>
        </w:rPr>
        <w:t> </w:t>
      </w:r>
      <w:r>
        <w:rPr>
          <w:sz w:val="24"/>
        </w:rPr>
        <w:t>“</w:t>
      </w:r>
      <w:r>
        <w:rPr>
          <w:b/>
          <w:sz w:val="24"/>
        </w:rPr>
        <w:t>Deposit</w:t>
      </w:r>
      <w:r>
        <w:rPr>
          <w:sz w:val="24"/>
        </w:rPr>
        <w:t>”) in</w:t>
      </w:r>
      <w:r>
        <w:rPr>
          <w:spacing w:val="-10"/>
          <w:sz w:val="24"/>
        </w:rPr>
        <w:t> </w:t>
      </w:r>
      <w:r>
        <w:rPr>
          <w:sz w:val="24"/>
        </w:rPr>
        <w:t>connection</w:t>
      </w:r>
      <w:r>
        <w:rPr>
          <w:spacing w:val="-9"/>
          <w:sz w:val="24"/>
        </w:rPr>
        <w:t> </w:t>
      </w:r>
      <w:r>
        <w:rPr>
          <w:sz w:val="24"/>
        </w:rPr>
        <w:t>with</w:t>
      </w:r>
      <w:r>
        <w:rPr>
          <w:spacing w:val="-9"/>
          <w:sz w:val="24"/>
        </w:rPr>
        <w:t> </w:t>
      </w:r>
      <w:r>
        <w:rPr>
          <w:sz w:val="24"/>
        </w:rPr>
        <w:t>the</w:t>
      </w:r>
      <w:r>
        <w:rPr>
          <w:spacing w:val="-9"/>
          <w:sz w:val="24"/>
        </w:rPr>
        <w:t> </w:t>
      </w:r>
      <w:r>
        <w:rPr>
          <w:sz w:val="24"/>
        </w:rPr>
        <w:t>Agreement,</w:t>
      </w:r>
      <w:r>
        <w:rPr>
          <w:spacing w:val="-9"/>
          <w:sz w:val="24"/>
        </w:rPr>
        <w:t> </w:t>
      </w:r>
      <w:r>
        <w:rPr>
          <w:sz w:val="24"/>
        </w:rPr>
        <w:t>and</w:t>
      </w:r>
      <w:r>
        <w:rPr>
          <w:spacing w:val="-9"/>
          <w:sz w:val="24"/>
        </w:rPr>
        <w:t> </w:t>
      </w:r>
      <w:r>
        <w:rPr>
          <w:sz w:val="24"/>
        </w:rPr>
        <w:t>in</w:t>
      </w:r>
      <w:r>
        <w:rPr>
          <w:spacing w:val="-9"/>
          <w:sz w:val="24"/>
        </w:rPr>
        <w:t> </w:t>
      </w:r>
      <w:r>
        <w:rPr>
          <w:sz w:val="24"/>
        </w:rPr>
        <w:t>such</w:t>
      </w:r>
      <w:r>
        <w:rPr>
          <w:spacing w:val="-10"/>
          <w:sz w:val="24"/>
        </w:rPr>
        <w:t> </w:t>
      </w:r>
      <w:r>
        <w:rPr>
          <w:sz w:val="24"/>
        </w:rPr>
        <w:t>event</w:t>
      </w:r>
      <w:r>
        <w:rPr>
          <w:spacing w:val="-8"/>
          <w:sz w:val="24"/>
        </w:rPr>
        <w:t> </w:t>
      </w:r>
      <w:r>
        <w:rPr>
          <w:sz w:val="24"/>
        </w:rPr>
        <w:t>Seller</w:t>
      </w:r>
      <w:r>
        <w:rPr>
          <w:spacing w:val="-8"/>
          <w:sz w:val="24"/>
        </w:rPr>
        <w:t> </w:t>
      </w:r>
      <w:r>
        <w:rPr>
          <w:sz w:val="24"/>
        </w:rPr>
        <w:t>shall</w:t>
      </w:r>
      <w:r>
        <w:rPr>
          <w:spacing w:val="-9"/>
          <w:sz w:val="24"/>
        </w:rPr>
        <w:t> </w:t>
      </w:r>
      <w:r>
        <w:rPr>
          <w:sz w:val="24"/>
        </w:rPr>
        <w:t>provide</w:t>
      </w:r>
      <w:r>
        <w:rPr>
          <w:spacing w:val="-10"/>
          <w:sz w:val="24"/>
        </w:rPr>
        <w:t> </w:t>
      </w:r>
      <w:r>
        <w:rPr>
          <w:sz w:val="24"/>
        </w:rPr>
        <w:t>instruction</w:t>
      </w:r>
      <w:r>
        <w:rPr>
          <w:spacing w:val="-9"/>
          <w:sz w:val="24"/>
        </w:rPr>
        <w:t> </w:t>
      </w:r>
      <w:r>
        <w:rPr>
          <w:sz w:val="24"/>
        </w:rPr>
        <w:t>to</w:t>
      </w:r>
      <w:r>
        <w:rPr>
          <w:spacing w:val="-9"/>
          <w:sz w:val="24"/>
        </w:rPr>
        <w:t> </w:t>
      </w:r>
      <w:r>
        <w:rPr>
          <w:sz w:val="24"/>
        </w:rPr>
        <w:t>any</w:t>
      </w:r>
      <w:r>
        <w:rPr>
          <w:spacing w:val="-10"/>
          <w:sz w:val="24"/>
        </w:rPr>
        <w:t> </w:t>
      </w:r>
      <w:r>
        <w:rPr>
          <w:sz w:val="24"/>
        </w:rPr>
        <w:t>escrow agent to release any such Deposit to</w:t>
      </w:r>
      <w:r>
        <w:rPr>
          <w:spacing w:val="-7"/>
          <w:sz w:val="24"/>
        </w:rPr>
        <w:t> </w:t>
      </w:r>
      <w:r>
        <w:rPr>
          <w:sz w:val="24"/>
        </w:rPr>
        <w:t>Buyer.</w:t>
      </w:r>
    </w:p>
    <w:p>
      <w:pPr>
        <w:pStyle w:val="BodyText"/>
        <w:spacing w:before="11"/>
        <w:rPr>
          <w:sz w:val="23"/>
        </w:rPr>
      </w:pPr>
    </w:p>
    <w:p>
      <w:pPr>
        <w:pStyle w:val="ListParagraph"/>
        <w:numPr>
          <w:ilvl w:val="0"/>
          <w:numId w:val="1"/>
        </w:numPr>
        <w:tabs>
          <w:tab w:pos="1739" w:val="left" w:leader="none"/>
          <w:tab w:pos="1740" w:val="left" w:leader="none"/>
        </w:tabs>
        <w:spacing w:line="240" w:lineRule="auto" w:before="0" w:after="0"/>
        <w:ind w:left="300" w:right="117" w:firstLine="60"/>
        <w:jc w:val="both"/>
        <w:rPr>
          <w:sz w:val="24"/>
        </w:rPr>
      </w:pPr>
      <w:r>
        <w:rPr>
          <w:sz w:val="24"/>
          <w:u w:val="single"/>
        </w:rPr>
        <w:t>Miscellaneous</w:t>
      </w:r>
      <w:r>
        <w:rPr>
          <w:sz w:val="24"/>
        </w:rPr>
        <w:t>.</w:t>
      </w:r>
      <w:r>
        <w:rPr>
          <w:spacing w:val="-6"/>
          <w:sz w:val="24"/>
        </w:rPr>
        <w:t> </w:t>
      </w:r>
      <w:r>
        <w:rPr>
          <w:sz w:val="24"/>
        </w:rPr>
        <w:t>This</w:t>
      </w:r>
      <w:r>
        <w:rPr>
          <w:spacing w:val="-5"/>
          <w:sz w:val="24"/>
        </w:rPr>
        <w:t> </w:t>
      </w:r>
      <w:r>
        <w:rPr>
          <w:sz w:val="24"/>
        </w:rPr>
        <w:t>Addendum</w:t>
      </w:r>
      <w:r>
        <w:rPr>
          <w:spacing w:val="-7"/>
          <w:sz w:val="24"/>
        </w:rPr>
        <w:t> </w:t>
      </w:r>
      <w:r>
        <w:rPr>
          <w:sz w:val="24"/>
        </w:rPr>
        <w:t>shall</w:t>
      </w:r>
      <w:r>
        <w:rPr>
          <w:spacing w:val="-5"/>
          <w:sz w:val="24"/>
        </w:rPr>
        <w:t> </w:t>
      </w:r>
      <w:r>
        <w:rPr>
          <w:sz w:val="24"/>
        </w:rPr>
        <w:t>be</w:t>
      </w:r>
      <w:r>
        <w:rPr>
          <w:spacing w:val="-5"/>
          <w:sz w:val="24"/>
        </w:rPr>
        <w:t> </w:t>
      </w:r>
      <w:r>
        <w:rPr>
          <w:sz w:val="24"/>
        </w:rPr>
        <w:t>governed</w:t>
      </w:r>
      <w:r>
        <w:rPr>
          <w:spacing w:val="-6"/>
          <w:sz w:val="24"/>
        </w:rPr>
        <w:t> </w:t>
      </w:r>
      <w:r>
        <w:rPr>
          <w:sz w:val="24"/>
        </w:rPr>
        <w:t>by,</w:t>
      </w:r>
      <w:r>
        <w:rPr>
          <w:spacing w:val="-5"/>
          <w:sz w:val="24"/>
        </w:rPr>
        <w:t> </w:t>
      </w:r>
      <w:r>
        <w:rPr>
          <w:sz w:val="24"/>
        </w:rPr>
        <w:t>and</w:t>
      </w:r>
      <w:r>
        <w:rPr>
          <w:spacing w:val="-5"/>
          <w:sz w:val="24"/>
        </w:rPr>
        <w:t> </w:t>
      </w:r>
      <w:r>
        <w:rPr>
          <w:sz w:val="24"/>
        </w:rPr>
        <w:t>construed</w:t>
      </w:r>
      <w:r>
        <w:rPr>
          <w:spacing w:val="-6"/>
          <w:sz w:val="24"/>
        </w:rPr>
        <w:t> </w:t>
      </w:r>
      <w:r>
        <w:rPr>
          <w:sz w:val="24"/>
        </w:rPr>
        <w:t>in</w:t>
      </w:r>
      <w:r>
        <w:rPr>
          <w:spacing w:val="-5"/>
          <w:sz w:val="24"/>
        </w:rPr>
        <w:t> </w:t>
      </w:r>
      <w:r>
        <w:rPr>
          <w:sz w:val="24"/>
        </w:rPr>
        <w:t>accordance with, the laws of the jurisdiction governing the Agreement. This Addendum may be executed simultaneously or in counterparts, each of which counterpart shall be deemed an original, but all of which together shall constitute one and the same Addendum. Facsimile signatures and/or electronically transmitted pdf files of this Addendum are valid and carry the same effect as an original signature. This Addendum shall be deemed a part of the Agreement as if fully set forth therein.</w:t>
      </w:r>
      <w:r>
        <w:rPr>
          <w:spacing w:val="-15"/>
          <w:sz w:val="24"/>
        </w:rPr>
        <w:t> </w:t>
      </w:r>
      <w:r>
        <w:rPr>
          <w:sz w:val="24"/>
        </w:rPr>
        <w:t>Any</w:t>
      </w:r>
      <w:r>
        <w:rPr>
          <w:spacing w:val="-15"/>
          <w:sz w:val="24"/>
        </w:rPr>
        <w:t> </w:t>
      </w:r>
      <w:r>
        <w:rPr>
          <w:sz w:val="24"/>
        </w:rPr>
        <w:t>notice</w:t>
      </w:r>
      <w:r>
        <w:rPr>
          <w:spacing w:val="-14"/>
          <w:sz w:val="24"/>
        </w:rPr>
        <w:t> </w:t>
      </w:r>
      <w:r>
        <w:rPr>
          <w:sz w:val="24"/>
        </w:rPr>
        <w:t>provided</w:t>
      </w:r>
      <w:r>
        <w:rPr>
          <w:spacing w:val="-15"/>
          <w:sz w:val="24"/>
        </w:rPr>
        <w:t> </w:t>
      </w:r>
      <w:r>
        <w:rPr>
          <w:sz w:val="24"/>
        </w:rPr>
        <w:t>under</w:t>
      </w:r>
      <w:r>
        <w:rPr>
          <w:spacing w:val="-14"/>
          <w:sz w:val="24"/>
        </w:rPr>
        <w:t> </w:t>
      </w:r>
      <w:r>
        <w:rPr>
          <w:sz w:val="24"/>
        </w:rPr>
        <w:t>this</w:t>
      </w:r>
      <w:r>
        <w:rPr>
          <w:spacing w:val="-14"/>
          <w:sz w:val="24"/>
        </w:rPr>
        <w:t> </w:t>
      </w:r>
      <w:r>
        <w:rPr>
          <w:sz w:val="24"/>
        </w:rPr>
        <w:t>Addendum</w:t>
      </w:r>
      <w:r>
        <w:rPr>
          <w:spacing w:val="-14"/>
          <w:sz w:val="24"/>
        </w:rPr>
        <w:t> </w:t>
      </w:r>
      <w:r>
        <w:rPr>
          <w:sz w:val="24"/>
        </w:rPr>
        <w:t>shall</w:t>
      </w:r>
      <w:r>
        <w:rPr>
          <w:spacing w:val="-14"/>
          <w:sz w:val="24"/>
        </w:rPr>
        <w:t> </w:t>
      </w:r>
      <w:r>
        <w:rPr>
          <w:sz w:val="24"/>
        </w:rPr>
        <w:t>be</w:t>
      </w:r>
      <w:r>
        <w:rPr>
          <w:spacing w:val="-14"/>
          <w:sz w:val="24"/>
        </w:rPr>
        <w:t> </w:t>
      </w:r>
      <w:r>
        <w:rPr>
          <w:sz w:val="24"/>
        </w:rPr>
        <w:t>provided</w:t>
      </w:r>
      <w:r>
        <w:rPr>
          <w:spacing w:val="-15"/>
          <w:sz w:val="24"/>
        </w:rPr>
        <w:t> </w:t>
      </w:r>
      <w:r>
        <w:rPr>
          <w:sz w:val="24"/>
        </w:rPr>
        <w:t>in</w:t>
      </w:r>
      <w:r>
        <w:rPr>
          <w:spacing w:val="-16"/>
          <w:sz w:val="24"/>
        </w:rPr>
        <w:t> </w:t>
      </w:r>
      <w:r>
        <w:rPr>
          <w:sz w:val="24"/>
        </w:rPr>
        <w:t>the</w:t>
      </w:r>
      <w:r>
        <w:rPr>
          <w:spacing w:val="-16"/>
          <w:sz w:val="24"/>
        </w:rPr>
        <w:t> </w:t>
      </w:r>
      <w:r>
        <w:rPr>
          <w:sz w:val="24"/>
        </w:rPr>
        <w:t>same</w:t>
      </w:r>
      <w:r>
        <w:rPr>
          <w:spacing w:val="-12"/>
          <w:sz w:val="24"/>
        </w:rPr>
        <w:t> </w:t>
      </w:r>
      <w:r>
        <w:rPr>
          <w:sz w:val="24"/>
        </w:rPr>
        <w:t>manner</w:t>
      </w:r>
      <w:r>
        <w:rPr>
          <w:spacing w:val="-14"/>
          <w:sz w:val="24"/>
        </w:rPr>
        <w:t> </w:t>
      </w:r>
      <w:r>
        <w:rPr>
          <w:sz w:val="24"/>
        </w:rPr>
        <w:t>and</w:t>
      </w:r>
      <w:r>
        <w:rPr>
          <w:spacing w:val="-15"/>
          <w:sz w:val="24"/>
        </w:rPr>
        <w:t> </w:t>
      </w:r>
      <w:r>
        <w:rPr>
          <w:sz w:val="24"/>
        </w:rPr>
        <w:t>under the same terms as set forth in the</w:t>
      </w:r>
      <w:r>
        <w:rPr>
          <w:spacing w:val="-2"/>
          <w:sz w:val="24"/>
        </w:rPr>
        <w:t> </w:t>
      </w:r>
      <w:r>
        <w:rPr>
          <w:sz w:val="24"/>
        </w:rPr>
        <w:t>Agreement.</w:t>
      </w:r>
    </w:p>
    <w:p>
      <w:pPr>
        <w:spacing w:after="0" w:line="240" w:lineRule="auto"/>
        <w:jc w:val="both"/>
        <w:rPr>
          <w:sz w:val="24"/>
        </w:rPr>
        <w:sectPr>
          <w:type w:val="continuous"/>
          <w:pgSz w:w="12240" w:h="15840"/>
          <w:pgMar w:top="1360" w:bottom="1480" w:left="1140" w:right="1320"/>
        </w:sectPr>
      </w:pPr>
    </w:p>
    <w:p>
      <w:pPr>
        <w:pStyle w:val="BodyText"/>
        <w:spacing w:before="76" w:after="11"/>
        <w:ind w:left="1020"/>
      </w:pPr>
      <w:r>
        <w:rPr/>
        <w:t>IN WITNESS WHEREOF, the parties hereto have executed this Addendum as of the date</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9"/>
        <w:gridCol w:w="3225"/>
      </w:tblGrid>
      <w:tr>
        <w:trPr>
          <w:trHeight w:val="408" w:hRule="atLeast"/>
        </w:trPr>
        <w:tc>
          <w:tcPr>
            <w:tcW w:w="6384" w:type="dxa"/>
            <w:gridSpan w:val="2"/>
          </w:tcPr>
          <w:p>
            <w:pPr>
              <w:pStyle w:val="TableParagraph"/>
              <w:spacing w:line="266" w:lineRule="exact" w:before="0"/>
              <w:rPr>
                <w:sz w:val="24"/>
              </w:rPr>
            </w:pPr>
            <w:r>
              <w:rPr>
                <w:sz w:val="24"/>
              </w:rPr>
              <w:t>set forth above.</w:t>
            </w:r>
          </w:p>
        </w:tc>
      </w:tr>
      <w:tr>
        <w:trPr>
          <w:trHeight w:val="690" w:hRule="atLeast"/>
        </w:trPr>
        <w:tc>
          <w:tcPr>
            <w:tcW w:w="3159" w:type="dxa"/>
          </w:tcPr>
          <w:p>
            <w:pPr>
              <w:pStyle w:val="TableParagraph"/>
              <w:rPr>
                <w:sz w:val="24"/>
              </w:rPr>
            </w:pPr>
            <w:r>
              <w:rPr>
                <w:sz w:val="24"/>
              </w:rPr>
              <w:t>BUYER:</w:t>
            </w:r>
          </w:p>
        </w:tc>
        <w:tc>
          <w:tcPr>
            <w:tcW w:w="3225" w:type="dxa"/>
          </w:tcPr>
          <w:p>
            <w:pPr>
              <w:pStyle w:val="TableParagraph"/>
              <w:ind w:left="2081"/>
              <w:rPr>
                <w:sz w:val="24"/>
              </w:rPr>
            </w:pPr>
            <w:r>
              <w:rPr>
                <w:sz w:val="24"/>
              </w:rPr>
              <w:t>SELLER:</w:t>
            </w:r>
          </w:p>
        </w:tc>
      </w:tr>
      <w:tr>
        <w:trPr>
          <w:trHeight w:val="1374" w:hRule="atLeast"/>
        </w:trPr>
        <w:tc>
          <w:tcPr>
            <w:tcW w:w="3159" w:type="dxa"/>
          </w:tcPr>
          <w:p>
            <w:pPr>
              <w:pStyle w:val="TableParagraph"/>
              <w:tabs>
                <w:tab w:pos="4519" w:val="left" w:leader="none"/>
              </w:tabs>
              <w:spacing w:line="410" w:lineRule="atLeast" w:before="137"/>
              <w:ind w:right="-1368"/>
              <w:jc w:val="both"/>
              <w:rPr>
                <w:sz w:val="24"/>
              </w:rPr>
            </w:pPr>
            <w:r>
              <w:rPr>
                <w:sz w:val="24"/>
              </w:rPr>
              <w:t>By:</w:t>
            </w:r>
            <w:r>
              <w:rPr>
                <w:sz w:val="24"/>
                <w:u w:val="single"/>
              </w:rPr>
              <w:tab/>
            </w:r>
            <w:r>
              <w:rPr>
                <w:sz w:val="24"/>
              </w:rPr>
              <w:t> Name:</w:t>
            </w:r>
            <w:r>
              <w:rPr>
                <w:sz w:val="24"/>
                <w:u w:val="single"/>
              </w:rPr>
              <w:tab/>
            </w:r>
            <w:r>
              <w:rPr>
                <w:sz w:val="24"/>
              </w:rPr>
              <w:t> Title:</w:t>
            </w:r>
            <w:r>
              <w:rPr>
                <w:sz w:val="24"/>
                <w:u w:val="single"/>
              </w:rPr>
              <w:t> </w:t>
              <w:tab/>
            </w:r>
          </w:p>
        </w:tc>
        <w:tc>
          <w:tcPr>
            <w:tcW w:w="3225" w:type="dxa"/>
          </w:tcPr>
          <w:p>
            <w:pPr>
              <w:pStyle w:val="TableParagraph"/>
              <w:tabs>
                <w:tab w:pos="6400" w:val="left" w:leader="none"/>
              </w:tabs>
              <w:spacing w:line="410" w:lineRule="atLeast" w:before="137"/>
              <w:ind w:left="2081" w:right="-3183"/>
              <w:jc w:val="both"/>
              <w:rPr>
                <w:sz w:val="24"/>
              </w:rPr>
            </w:pPr>
            <w:r>
              <w:rPr>
                <w:sz w:val="24"/>
              </w:rPr>
              <w:t>By:</w:t>
            </w:r>
            <w:r>
              <w:rPr>
                <w:sz w:val="24"/>
                <w:u w:val="single"/>
              </w:rPr>
              <w:tab/>
            </w:r>
            <w:r>
              <w:rPr>
                <w:sz w:val="24"/>
              </w:rPr>
              <w:t> Name:</w:t>
            </w:r>
            <w:r>
              <w:rPr>
                <w:sz w:val="24"/>
                <w:u w:val="single"/>
              </w:rPr>
              <w:tab/>
            </w:r>
            <w:r>
              <w:rPr>
                <w:sz w:val="24"/>
              </w:rPr>
              <w:t> Title:</w:t>
            </w:r>
            <w:r>
              <w:rPr>
                <w:sz w:val="24"/>
                <w:u w:val="single"/>
              </w:rPr>
              <w:t> </w:t>
              <w:tab/>
            </w:r>
          </w:p>
        </w:tc>
      </w:tr>
    </w:tbl>
    <w:sectPr>
      <w:pgSz w:w="12240" w:h="15840"/>
      <w:pgMar w:header="0" w:footer="1300" w:top="1360" w:bottom="148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3920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776768"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0" w:hanging="720"/>
        <w:jc w:val="righ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248" w:hanging="720"/>
      </w:pPr>
      <w:rPr>
        <w:rFonts w:hint="default"/>
        <w:lang w:val="en-US" w:eastAsia="en-US" w:bidi="ar-SA"/>
      </w:rPr>
    </w:lvl>
    <w:lvl w:ilvl="2">
      <w:start w:val="0"/>
      <w:numFmt w:val="bullet"/>
      <w:lvlText w:val="•"/>
      <w:lvlJc w:val="left"/>
      <w:pPr>
        <w:ind w:left="2196" w:hanging="720"/>
      </w:pPr>
      <w:rPr>
        <w:rFonts w:hint="default"/>
        <w:lang w:val="en-US" w:eastAsia="en-US" w:bidi="ar-SA"/>
      </w:rPr>
    </w:lvl>
    <w:lvl w:ilvl="3">
      <w:start w:val="0"/>
      <w:numFmt w:val="bullet"/>
      <w:lvlText w:val="•"/>
      <w:lvlJc w:val="left"/>
      <w:pPr>
        <w:ind w:left="3144" w:hanging="720"/>
      </w:pPr>
      <w:rPr>
        <w:rFonts w:hint="default"/>
        <w:lang w:val="en-US" w:eastAsia="en-US" w:bidi="ar-SA"/>
      </w:rPr>
    </w:lvl>
    <w:lvl w:ilvl="4">
      <w:start w:val="0"/>
      <w:numFmt w:val="bullet"/>
      <w:lvlText w:val="•"/>
      <w:lvlJc w:val="left"/>
      <w:pPr>
        <w:ind w:left="4092" w:hanging="720"/>
      </w:pPr>
      <w:rPr>
        <w:rFonts w:hint="default"/>
        <w:lang w:val="en-US" w:eastAsia="en-US" w:bidi="ar-SA"/>
      </w:rPr>
    </w:lvl>
    <w:lvl w:ilvl="5">
      <w:start w:val="0"/>
      <w:numFmt w:val="bullet"/>
      <w:lvlText w:val="•"/>
      <w:lvlJc w:val="left"/>
      <w:pPr>
        <w:ind w:left="5040" w:hanging="720"/>
      </w:pPr>
      <w:rPr>
        <w:rFonts w:hint="default"/>
        <w:lang w:val="en-US" w:eastAsia="en-US" w:bidi="ar-SA"/>
      </w:rPr>
    </w:lvl>
    <w:lvl w:ilvl="6">
      <w:start w:val="0"/>
      <w:numFmt w:val="bullet"/>
      <w:lvlText w:val="•"/>
      <w:lvlJc w:val="left"/>
      <w:pPr>
        <w:ind w:left="5988" w:hanging="720"/>
      </w:pPr>
      <w:rPr>
        <w:rFonts w:hint="default"/>
        <w:lang w:val="en-US" w:eastAsia="en-US" w:bidi="ar-SA"/>
      </w:rPr>
    </w:lvl>
    <w:lvl w:ilvl="7">
      <w:start w:val="0"/>
      <w:numFmt w:val="bullet"/>
      <w:lvlText w:val="•"/>
      <w:lvlJc w:val="left"/>
      <w:pPr>
        <w:ind w:left="6936" w:hanging="720"/>
      </w:pPr>
      <w:rPr>
        <w:rFonts w:hint="default"/>
        <w:lang w:val="en-US" w:eastAsia="en-US" w:bidi="ar-SA"/>
      </w:rPr>
    </w:lvl>
    <w:lvl w:ilvl="8">
      <w:start w:val="0"/>
      <w:numFmt w:val="bullet"/>
      <w:lvlText w:val="•"/>
      <w:lvlJc w:val="left"/>
      <w:pPr>
        <w:ind w:left="788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586" w:right="2406"/>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299" w:right="116" w:firstLine="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33"/>
      <w:ind w:left="20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keywords>appraisal contingency addendum, home sale contingency addendum, inspection addendum, inspection contingency addendum, home inspection addendum, appraisal contingency addendum to agreement of sale, contingency addendum, home inspection addendum form, inspection addendum form, home inspection repair addendum, inspection addendum to purchase and sale agreement</cp:keywords>
  <dc:subject>Appraisal Contingency Addendum Template</dc:subject>
  <dc:title>Appraisal Contingency Addendum Form</dc:title>
  <dcterms:created xsi:type="dcterms:W3CDTF">2021-10-25T11:58:00Z</dcterms:created>
  <dcterms:modified xsi:type="dcterms:W3CDTF">2021-10-25T11:58:00Z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Acrobat PDFMaker 20 для Word</vt:lpwstr>
  </property>
  <property fmtid="{D5CDD505-2E9C-101B-9397-08002B2CF9AE}" pid="4" name="LastSaved">
    <vt:filetime>2021-10-25T00:00:00Z</vt:filetime>
  </property>
</Properties>
</file>