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SELLER FINANCING ADDENDUM</w:t>
      </w:r>
    </w:p>
    <w:p>
      <w:pPr>
        <w:pStyle w:val="BodyText"/>
        <w:spacing w:before="9"/>
        <w:rPr>
          <w:b/>
          <w:sz w:val="23"/>
        </w:rPr>
      </w:pPr>
    </w:p>
    <w:p>
      <w:pPr>
        <w:pStyle w:val="BodyText"/>
        <w:tabs>
          <w:tab w:pos="3967" w:val="left" w:leader="none"/>
          <w:tab w:pos="9599" w:val="left" w:leader="none"/>
        </w:tabs>
        <w:ind w:left="300" w:right="176" w:firstLine="720"/>
      </w:pPr>
      <w:r>
        <w:rPr/>
        <w:t>THIS</w:t>
      </w:r>
      <w:r>
        <w:rPr>
          <w:spacing w:val="-10"/>
        </w:rPr>
        <w:t> </w:t>
      </w:r>
      <w:r>
        <w:rPr/>
        <w:t>SELLER</w:t>
      </w:r>
      <w:r>
        <w:rPr>
          <w:spacing w:val="-9"/>
        </w:rPr>
        <w:t> </w:t>
      </w:r>
      <w:r>
        <w:rPr/>
        <w:t>FINANCING</w:t>
      </w:r>
      <w:r>
        <w:rPr>
          <w:spacing w:val="-10"/>
        </w:rPr>
        <w:t> </w:t>
      </w:r>
      <w:r>
        <w:rPr/>
        <w:t>ADDENDUM</w:t>
      </w:r>
      <w:r>
        <w:rPr>
          <w:spacing w:val="-8"/>
        </w:rPr>
        <w:t> </w:t>
      </w:r>
      <w:r>
        <w:rPr/>
        <w:t>(this</w:t>
      </w:r>
      <w:r>
        <w:rPr>
          <w:spacing w:val="-9"/>
        </w:rPr>
        <w:t> </w:t>
      </w:r>
      <w:r>
        <w:rPr/>
        <w:t>“</w:t>
      </w:r>
      <w:r>
        <w:rPr>
          <w:b/>
        </w:rPr>
        <w:t>Addendum</w:t>
      </w:r>
      <w:r>
        <w:rPr/>
        <w:t>”)</w:t>
      </w:r>
      <w:r>
        <w:rPr>
          <w:spacing w:val="-9"/>
        </w:rPr>
        <w:t> </w:t>
      </w:r>
      <w:r>
        <w:rPr/>
        <w:t>is</w:t>
      </w:r>
      <w:r>
        <w:rPr>
          <w:spacing w:val="-9"/>
        </w:rPr>
        <w:t> </w:t>
      </w:r>
      <w:r>
        <w:rPr/>
        <w:t>made</w:t>
      </w:r>
      <w:r>
        <w:rPr>
          <w:spacing w:val="-8"/>
        </w:rPr>
        <w:t> </w:t>
      </w:r>
      <w:r>
        <w:rPr/>
        <w:t>and</w:t>
      </w:r>
      <w:r>
        <w:rPr>
          <w:spacing w:val="-11"/>
        </w:rPr>
        <w:t> </w:t>
      </w:r>
      <w:r>
        <w:rPr/>
        <w:t>entered</w:t>
      </w:r>
      <w:r>
        <w:rPr>
          <w:spacing w:val="-8"/>
        </w:rPr>
        <w:t> </w:t>
      </w:r>
      <w:r>
        <w:rPr/>
        <w:t>into as</w:t>
      </w:r>
      <w:r>
        <w:rPr>
          <w:spacing w:val="13"/>
        </w:rPr>
        <w:t> </w:t>
      </w:r>
      <w:r>
        <w:rPr/>
        <w:t>of</w:t>
      </w:r>
      <w:r>
        <w:rPr>
          <w:u w:val="single"/>
        </w:rPr>
        <w:t> </w:t>
        <w:tab/>
      </w:r>
      <w:r>
        <w:rPr/>
        <w:t>, and is by</w:t>
      </w:r>
      <w:r>
        <w:rPr>
          <w:spacing w:val="51"/>
        </w:rPr>
        <w:t> </w:t>
      </w:r>
      <w:r>
        <w:rPr/>
        <w:t>and</w:t>
      </w:r>
      <w:r>
        <w:rPr>
          <w:spacing w:val="13"/>
        </w:rPr>
        <w:t> </w:t>
      </w:r>
      <w:r>
        <w:rPr/>
        <w:t>between</w:t>
      </w:r>
      <w:r>
        <w:rPr>
          <w:u w:val="single"/>
        </w:rPr>
        <w:t> </w:t>
        <w:tab/>
      </w:r>
      <w:r>
        <w:rPr>
          <w:spacing w:val="-15"/>
        </w:rPr>
        <w:t>,</w:t>
      </w:r>
    </w:p>
    <w:p>
      <w:pPr>
        <w:pStyle w:val="BodyText"/>
        <w:tabs>
          <w:tab w:pos="933" w:val="left" w:leader="none"/>
          <w:tab w:pos="1247" w:val="left" w:leader="none"/>
          <w:tab w:pos="2187" w:val="left" w:leader="none"/>
          <w:tab w:pos="3113" w:val="left" w:leader="none"/>
          <w:tab w:pos="3519" w:val="left" w:leader="none"/>
          <w:tab w:pos="7840" w:val="left" w:leader="none"/>
          <w:tab w:pos="8047" w:val="left" w:leader="none"/>
          <w:tab w:pos="9314" w:val="left" w:leader="none"/>
        </w:tabs>
        <w:ind w:left="300"/>
      </w:pPr>
      <w:r>
        <w:rPr/>
        <w:t>with</w:t>
        <w:tab/>
        <w:t>a</w:t>
        <w:tab/>
        <w:t>mailing</w:t>
        <w:tab/>
        <w:t>address</w:t>
        <w:tab/>
        <w:t>of</w:t>
        <w:tab/>
      </w:r>
      <w:r>
        <w:rPr>
          <w:u w:val="single"/>
        </w:rPr>
        <w:t> </w:t>
        <w:tab/>
      </w:r>
      <w:r>
        <w:rPr/>
        <w:tab/>
        <w:t>(“</w:t>
      </w:r>
      <w:r>
        <w:rPr>
          <w:b/>
        </w:rPr>
        <w:t>Buyer</w:t>
      </w:r>
      <w:r>
        <w:rPr/>
        <w:t>”),</w:t>
        <w:tab/>
        <w:t>and</w:t>
      </w:r>
    </w:p>
    <w:p>
      <w:pPr>
        <w:pStyle w:val="BodyText"/>
        <w:tabs>
          <w:tab w:pos="5459" w:val="left" w:leader="none"/>
          <w:tab w:pos="5911" w:val="left" w:leader="none"/>
          <w:tab w:pos="6728" w:val="left" w:leader="none"/>
          <w:tab w:pos="7226" w:val="left" w:leader="none"/>
          <w:tab w:pos="8350" w:val="left" w:leader="none"/>
          <w:tab w:pos="9462" w:val="left" w:leader="none"/>
        </w:tabs>
        <w:ind w:left="300"/>
      </w:pPr>
      <w:r>
        <w:rPr>
          <w:u w:val="single"/>
        </w:rPr>
        <w:t> </w:t>
        <w:tab/>
      </w:r>
      <w:r>
        <w:rPr/>
        <w:t>,</w:t>
        <w:tab/>
        <w:t>with</w:t>
        <w:tab/>
        <w:t>a</w:t>
        <w:tab/>
        <w:t>mailing</w:t>
        <w:tab/>
        <w:t>address</w:t>
        <w:tab/>
        <w:t>of</w:t>
      </w:r>
    </w:p>
    <w:p>
      <w:pPr>
        <w:tabs>
          <w:tab w:pos="4259" w:val="left" w:leader="none"/>
        </w:tabs>
        <w:spacing w:before="0"/>
        <w:ind w:left="300" w:right="0" w:firstLine="0"/>
        <w:jc w:val="left"/>
        <w:rPr>
          <w:sz w:val="24"/>
        </w:rPr>
      </w:pPr>
      <w:r>
        <w:rPr>
          <w:sz w:val="24"/>
          <w:u w:val="single"/>
        </w:rPr>
        <w:t> </w:t>
        <w:tab/>
      </w:r>
      <w:r>
        <w:rPr>
          <w:sz w:val="24"/>
        </w:rPr>
        <w:t> (“</w:t>
      </w:r>
      <w:r>
        <w:rPr>
          <w:b/>
          <w:sz w:val="24"/>
        </w:rPr>
        <w:t>Seller</w:t>
      </w:r>
      <w:r>
        <w:rPr>
          <w:sz w:val="24"/>
        </w:rPr>
        <w:t>”).</w:t>
      </w:r>
    </w:p>
    <w:p>
      <w:pPr>
        <w:pStyle w:val="BodyText"/>
      </w:pPr>
    </w:p>
    <w:p>
      <w:pPr>
        <w:pStyle w:val="BodyText"/>
        <w:ind w:left="3018" w:right="2900"/>
        <w:jc w:val="center"/>
      </w:pPr>
      <w:r>
        <w:rPr/>
        <w:t>RECITALS</w:t>
      </w:r>
    </w:p>
    <w:p>
      <w:pPr>
        <w:pStyle w:val="BodyText"/>
      </w:pPr>
    </w:p>
    <w:p>
      <w:pPr>
        <w:pStyle w:val="BodyText"/>
        <w:ind w:right="175"/>
        <w:jc w:val="right"/>
      </w:pPr>
      <w:r>
        <w:rPr/>
        <w:t>WHEREAS, Buyer and Seller are parties to that certain contract or agreement dated as</w:t>
      </w:r>
      <w:r>
        <w:rPr>
          <w:spacing w:val="42"/>
        </w:rPr>
        <w:t> </w:t>
      </w:r>
      <w:r>
        <w:rPr/>
        <w:t>of</w:t>
      </w:r>
    </w:p>
    <w:p>
      <w:pPr>
        <w:pStyle w:val="BodyText"/>
        <w:tabs>
          <w:tab w:pos="2639" w:val="left" w:leader="none"/>
        </w:tabs>
        <w:ind w:right="177"/>
        <w:jc w:val="right"/>
      </w:pPr>
      <w:r>
        <w:rPr>
          <w:u w:val="single"/>
        </w:rPr>
        <w:t> </w:t>
        <w:tab/>
      </w:r>
      <w:r>
        <w:rPr/>
        <w:t> </w:t>
      </w:r>
      <w:r>
        <w:rPr>
          <w:spacing w:val="-29"/>
        </w:rPr>
        <w:t> </w:t>
      </w:r>
      <w:r>
        <w:rPr/>
        <w:t>(the</w:t>
      </w:r>
      <w:r>
        <w:rPr>
          <w:spacing w:val="29"/>
        </w:rPr>
        <w:t> </w:t>
      </w:r>
      <w:r>
        <w:rPr/>
        <w:t>“</w:t>
      </w:r>
      <w:r>
        <w:rPr>
          <w:b/>
        </w:rPr>
        <w:t>Agreement</w:t>
      </w:r>
      <w:r>
        <w:rPr/>
        <w:t>”)</w:t>
      </w:r>
      <w:r>
        <w:rPr>
          <w:spacing w:val="30"/>
        </w:rPr>
        <w:t> </w:t>
      </w:r>
      <w:r>
        <w:rPr/>
        <w:t>for</w:t>
      </w:r>
      <w:r>
        <w:rPr>
          <w:spacing w:val="30"/>
        </w:rPr>
        <w:t> </w:t>
      </w:r>
      <w:r>
        <w:rPr/>
        <w:t>the</w:t>
      </w:r>
      <w:r>
        <w:rPr>
          <w:spacing w:val="30"/>
        </w:rPr>
        <w:t> </w:t>
      </w:r>
      <w:r>
        <w:rPr/>
        <w:t>purchase</w:t>
      </w:r>
      <w:r>
        <w:rPr>
          <w:spacing w:val="30"/>
        </w:rPr>
        <w:t> </w:t>
      </w:r>
      <w:r>
        <w:rPr/>
        <w:t>and</w:t>
      </w:r>
      <w:r>
        <w:rPr>
          <w:spacing w:val="30"/>
        </w:rPr>
        <w:t> </w:t>
      </w:r>
      <w:r>
        <w:rPr/>
        <w:t>sale</w:t>
      </w:r>
      <w:r>
        <w:rPr>
          <w:spacing w:val="29"/>
        </w:rPr>
        <w:t> </w:t>
      </w:r>
      <w:r>
        <w:rPr/>
        <w:t>of</w:t>
      </w:r>
      <w:r>
        <w:rPr>
          <w:spacing w:val="29"/>
        </w:rPr>
        <w:t> </w:t>
      </w:r>
      <w:r>
        <w:rPr/>
        <w:t>real</w:t>
      </w:r>
      <w:r>
        <w:rPr>
          <w:spacing w:val="30"/>
        </w:rPr>
        <w:t> </w:t>
      </w:r>
      <w:r>
        <w:rPr/>
        <w:t>estate</w:t>
      </w:r>
      <w:r>
        <w:rPr>
          <w:spacing w:val="30"/>
        </w:rPr>
        <w:t> </w:t>
      </w:r>
      <w:r>
        <w:rPr/>
        <w:t>for</w:t>
      </w:r>
      <w:r>
        <w:rPr>
          <w:spacing w:val="30"/>
        </w:rPr>
        <w:t> </w:t>
      </w:r>
      <w:r>
        <w:rPr/>
        <w:t>the</w:t>
      </w:r>
    </w:p>
    <w:p>
      <w:pPr>
        <w:spacing w:after="0"/>
        <w:jc w:val="right"/>
        <w:sectPr>
          <w:footerReference w:type="default" r:id="rId5"/>
          <w:type w:val="continuous"/>
          <w:pgSz w:w="12240" w:h="15840"/>
          <w:pgMar w:footer="1152" w:top="1360" w:bottom="1340" w:left="1140" w:right="1260"/>
          <w:pgNumType w:start="1"/>
        </w:sectPr>
      </w:pPr>
    </w:p>
    <w:p>
      <w:pPr>
        <w:pStyle w:val="BodyText"/>
        <w:tabs>
          <w:tab w:pos="9136" w:val="left" w:leader="none"/>
        </w:tabs>
        <w:ind w:left="300"/>
      </w:pPr>
      <w:r>
        <w:rPr/>
        <w:t>property   known   by   street</w:t>
      </w:r>
      <w:r>
        <w:rPr>
          <w:spacing w:val="-13"/>
        </w:rPr>
        <w:t> </w:t>
      </w:r>
      <w:r>
        <w:rPr/>
        <w:t>address </w:t>
      </w:r>
      <w:r>
        <w:rPr>
          <w:spacing w:val="26"/>
        </w:rPr>
        <w:t> </w:t>
      </w:r>
      <w:r>
        <w:rPr/>
        <w:t>as </w:t>
      </w:r>
      <w:r>
        <w:rPr>
          <w:spacing w:val="29"/>
        </w:rPr>
        <w:t> </w:t>
      </w:r>
      <w:r>
        <w:rPr>
          <w:u w:val="single"/>
        </w:rPr>
        <w:t> </w:t>
        <w:tab/>
      </w:r>
      <w:r>
        <w:rPr/>
        <w:t> “</w:t>
      </w:r>
      <w:r>
        <w:rPr>
          <w:b/>
        </w:rPr>
        <w:t>Property</w:t>
      </w:r>
      <w:r>
        <w:rPr/>
        <w:t>”)</w:t>
      </w:r>
    </w:p>
    <w:p>
      <w:pPr>
        <w:pStyle w:val="BodyText"/>
        <w:ind w:left="108"/>
      </w:pPr>
      <w:r>
        <w:rPr/>
        <w:br w:type="column"/>
      </w:r>
      <w:r>
        <w:rPr/>
        <w:t>(the</w:t>
      </w:r>
    </w:p>
    <w:p>
      <w:pPr>
        <w:spacing w:after="0"/>
        <w:sectPr>
          <w:type w:val="continuous"/>
          <w:pgSz w:w="12240" w:h="15840"/>
          <w:pgMar w:top="1360" w:bottom="1340" w:left="1140" w:right="1260"/>
          <w:cols w:num="2" w:equalWidth="0">
            <w:col w:w="9137" w:space="40"/>
            <w:col w:w="663"/>
          </w:cols>
        </w:sectPr>
      </w:pPr>
    </w:p>
    <w:p>
      <w:pPr>
        <w:pStyle w:val="BodyText"/>
        <w:spacing w:before="2"/>
        <w:rPr>
          <w:sz w:val="16"/>
        </w:rPr>
      </w:pPr>
    </w:p>
    <w:p>
      <w:pPr>
        <w:pStyle w:val="BodyText"/>
        <w:spacing w:before="90"/>
        <w:ind w:left="300" w:right="177" w:firstLine="720"/>
        <w:jc w:val="both"/>
      </w:pPr>
      <w:r>
        <w:rPr/>
        <w:t>WHEREAS, upon the terms and conditions set forth in this Addendum, Buyer and Seller agree that Seller shall provide financing for a portion of Buyer’s purchase price of the Property under the Agreement.</w:t>
      </w:r>
    </w:p>
    <w:p>
      <w:pPr>
        <w:pStyle w:val="BodyText"/>
      </w:pPr>
    </w:p>
    <w:p>
      <w:pPr>
        <w:pStyle w:val="BodyText"/>
        <w:ind w:left="300" w:right="177" w:firstLine="720"/>
        <w:jc w:val="both"/>
      </w:pPr>
      <w:r>
        <w:rPr/>
        <w:t>NOW, THEREFORE, in consideration of the foregoing, and for other valuable considerations, the receipt and sufficiency of which are hereby acknowledged, the parties hereto agree as follows:</w:t>
      </w:r>
    </w:p>
    <w:p>
      <w:pPr>
        <w:pStyle w:val="BodyText"/>
      </w:pPr>
    </w:p>
    <w:p>
      <w:pPr>
        <w:pStyle w:val="ListParagraph"/>
        <w:numPr>
          <w:ilvl w:val="0"/>
          <w:numId w:val="1"/>
        </w:numPr>
        <w:tabs>
          <w:tab w:pos="2460" w:val="left" w:leader="none"/>
          <w:tab w:pos="4489" w:val="left" w:leader="none"/>
        </w:tabs>
        <w:spacing w:line="240" w:lineRule="auto" w:before="0" w:after="0"/>
        <w:ind w:left="300" w:right="177" w:firstLine="1440"/>
        <w:jc w:val="both"/>
        <w:rPr>
          <w:sz w:val="24"/>
        </w:rPr>
      </w:pPr>
      <w:r>
        <w:rPr>
          <w:sz w:val="24"/>
          <w:u w:val="single"/>
        </w:rPr>
        <w:t>Seller Carry Back Loan</w:t>
      </w:r>
      <w:r>
        <w:rPr>
          <w:sz w:val="24"/>
        </w:rPr>
        <w:t>. Upon the closing under the Agreement (the “</w:t>
      </w:r>
      <w:r>
        <w:rPr>
          <w:b/>
          <w:sz w:val="24"/>
        </w:rPr>
        <w:t>Closing</w:t>
      </w:r>
      <w:r>
        <w:rPr>
          <w:sz w:val="24"/>
        </w:rPr>
        <w:t>”), Seller shall provide Buyer with financing for Buyer’s purchase of the Property in the amount of up</w:t>
      </w:r>
      <w:r>
        <w:rPr>
          <w:spacing w:val="-31"/>
          <w:sz w:val="24"/>
        </w:rPr>
        <w:t> </w:t>
      </w:r>
      <w:r>
        <w:rPr>
          <w:sz w:val="24"/>
        </w:rPr>
        <w:t>to</w:t>
      </w:r>
      <w:r>
        <w:rPr>
          <w:spacing w:val="-10"/>
          <w:sz w:val="24"/>
        </w:rPr>
        <w:t> </w:t>
      </w:r>
      <w:r>
        <w:rPr>
          <w:sz w:val="24"/>
        </w:rPr>
        <w:t>$</w:t>
      </w:r>
      <w:r>
        <w:rPr>
          <w:sz w:val="24"/>
          <w:u w:val="single"/>
        </w:rPr>
        <w:t> </w:t>
        <w:tab/>
      </w:r>
      <w:r>
        <w:rPr>
          <w:sz w:val="24"/>
        </w:rPr>
        <w:t>(the “</w:t>
      </w:r>
      <w:r>
        <w:rPr>
          <w:b/>
          <w:sz w:val="24"/>
        </w:rPr>
        <w:t>Seller Carry Back Loan</w:t>
      </w:r>
      <w:r>
        <w:rPr>
          <w:sz w:val="24"/>
        </w:rPr>
        <w:t>”). The proceeds of the Seller Carry Back Loan shall be used by Buyer towards the purchase of the Property pursuant to the Agreement, and for no other purpose. Buyer acknowledges and agrees that in the event the Closing does    not occur for any reason, Seller shall have no obligation to extend the Seller Carry Back Loan, and</w:t>
      </w:r>
      <w:r>
        <w:rPr>
          <w:spacing w:val="13"/>
          <w:sz w:val="24"/>
        </w:rPr>
        <w:t> </w:t>
      </w:r>
      <w:r>
        <w:rPr>
          <w:sz w:val="24"/>
        </w:rPr>
        <w:t>in</w:t>
      </w:r>
      <w:r>
        <w:rPr>
          <w:spacing w:val="13"/>
          <w:sz w:val="24"/>
        </w:rPr>
        <w:t> </w:t>
      </w:r>
      <w:r>
        <w:rPr>
          <w:sz w:val="24"/>
        </w:rPr>
        <w:t>such</w:t>
      </w:r>
      <w:r>
        <w:rPr>
          <w:spacing w:val="12"/>
          <w:sz w:val="24"/>
        </w:rPr>
        <w:t> </w:t>
      </w:r>
      <w:r>
        <w:rPr>
          <w:sz w:val="24"/>
        </w:rPr>
        <w:t>an</w:t>
      </w:r>
      <w:r>
        <w:rPr>
          <w:spacing w:val="14"/>
          <w:sz w:val="24"/>
        </w:rPr>
        <w:t> </w:t>
      </w:r>
      <w:r>
        <w:rPr>
          <w:sz w:val="24"/>
        </w:rPr>
        <w:t>event</w:t>
      </w:r>
      <w:r>
        <w:rPr>
          <w:spacing w:val="15"/>
          <w:sz w:val="24"/>
        </w:rPr>
        <w:t> </w:t>
      </w:r>
      <w:r>
        <w:rPr>
          <w:sz w:val="24"/>
        </w:rPr>
        <w:t>Seller</w:t>
      </w:r>
      <w:r>
        <w:rPr>
          <w:spacing w:val="12"/>
          <w:sz w:val="24"/>
        </w:rPr>
        <w:t> </w:t>
      </w:r>
      <w:r>
        <w:rPr>
          <w:sz w:val="24"/>
        </w:rPr>
        <w:t>shall</w:t>
      </w:r>
      <w:r>
        <w:rPr>
          <w:spacing w:val="15"/>
          <w:sz w:val="24"/>
        </w:rPr>
        <w:t> </w:t>
      </w:r>
      <w:r>
        <w:rPr>
          <w:sz w:val="24"/>
        </w:rPr>
        <w:t>have</w:t>
      </w:r>
      <w:r>
        <w:rPr>
          <w:spacing w:val="14"/>
          <w:sz w:val="24"/>
        </w:rPr>
        <w:t> </w:t>
      </w:r>
      <w:r>
        <w:rPr>
          <w:sz w:val="24"/>
        </w:rPr>
        <w:t>no</w:t>
      </w:r>
      <w:r>
        <w:rPr>
          <w:spacing w:val="12"/>
          <w:sz w:val="24"/>
        </w:rPr>
        <w:t> </w:t>
      </w:r>
      <w:r>
        <w:rPr>
          <w:sz w:val="24"/>
        </w:rPr>
        <w:t>liability</w:t>
      </w:r>
      <w:r>
        <w:rPr>
          <w:spacing w:val="14"/>
          <w:sz w:val="24"/>
        </w:rPr>
        <w:t> </w:t>
      </w:r>
      <w:r>
        <w:rPr>
          <w:sz w:val="24"/>
        </w:rPr>
        <w:t>with</w:t>
      </w:r>
      <w:r>
        <w:rPr>
          <w:spacing w:val="13"/>
          <w:sz w:val="24"/>
        </w:rPr>
        <w:t> </w:t>
      </w:r>
      <w:r>
        <w:rPr>
          <w:sz w:val="24"/>
        </w:rPr>
        <w:t>respect</w:t>
      </w:r>
      <w:r>
        <w:rPr>
          <w:spacing w:val="12"/>
          <w:sz w:val="24"/>
        </w:rPr>
        <w:t> </w:t>
      </w:r>
      <w:r>
        <w:rPr>
          <w:sz w:val="24"/>
        </w:rPr>
        <w:t>thereto</w:t>
      </w:r>
      <w:r>
        <w:rPr>
          <w:spacing w:val="14"/>
          <w:sz w:val="24"/>
        </w:rPr>
        <w:t> </w:t>
      </w:r>
      <w:r>
        <w:rPr>
          <w:sz w:val="24"/>
        </w:rPr>
        <w:t>or</w:t>
      </w:r>
      <w:r>
        <w:rPr>
          <w:spacing w:val="13"/>
          <w:sz w:val="24"/>
        </w:rPr>
        <w:t> </w:t>
      </w:r>
      <w:r>
        <w:rPr>
          <w:sz w:val="24"/>
        </w:rPr>
        <w:t>under</w:t>
      </w:r>
      <w:r>
        <w:rPr>
          <w:spacing w:val="12"/>
          <w:sz w:val="24"/>
        </w:rPr>
        <w:t> </w:t>
      </w:r>
      <w:r>
        <w:rPr>
          <w:sz w:val="24"/>
        </w:rPr>
        <w:t>this</w:t>
      </w:r>
      <w:r>
        <w:rPr>
          <w:spacing w:val="-1"/>
          <w:sz w:val="24"/>
        </w:rPr>
        <w:t> </w:t>
      </w:r>
      <w:r>
        <w:rPr>
          <w:sz w:val="24"/>
        </w:rPr>
        <w:t>Addendum.</w:t>
      </w:r>
    </w:p>
    <w:p>
      <w:pPr>
        <w:pStyle w:val="BodyText"/>
        <w:spacing w:before="11"/>
        <w:rPr>
          <w:sz w:val="23"/>
        </w:rPr>
      </w:pPr>
    </w:p>
    <w:p>
      <w:pPr>
        <w:pStyle w:val="BodyText"/>
        <w:ind w:left="300" w:right="177" w:firstLine="720"/>
        <w:jc w:val="both"/>
      </w:pPr>
      <w:r>
        <w:rPr/>
        <w:t>Promptly</w:t>
      </w:r>
      <w:r>
        <w:rPr>
          <w:spacing w:val="-11"/>
        </w:rPr>
        <w:t> </w:t>
      </w:r>
      <w:r>
        <w:rPr/>
        <w:t>following</w:t>
      </w:r>
      <w:r>
        <w:rPr>
          <w:spacing w:val="-10"/>
        </w:rPr>
        <w:t> </w:t>
      </w:r>
      <w:r>
        <w:rPr/>
        <w:t>the</w:t>
      </w:r>
      <w:r>
        <w:rPr>
          <w:spacing w:val="-10"/>
        </w:rPr>
        <w:t> </w:t>
      </w:r>
      <w:r>
        <w:rPr/>
        <w:t>execution</w:t>
      </w:r>
      <w:r>
        <w:rPr>
          <w:spacing w:val="-11"/>
        </w:rPr>
        <w:t> </w:t>
      </w:r>
      <w:r>
        <w:rPr/>
        <w:t>of</w:t>
      </w:r>
      <w:r>
        <w:rPr>
          <w:spacing w:val="-11"/>
        </w:rPr>
        <w:t> </w:t>
      </w:r>
      <w:r>
        <w:rPr/>
        <w:t>this</w:t>
      </w:r>
      <w:r>
        <w:rPr>
          <w:spacing w:val="-10"/>
        </w:rPr>
        <w:t> </w:t>
      </w:r>
      <w:r>
        <w:rPr/>
        <w:t>Addendum,</w:t>
      </w:r>
      <w:r>
        <w:rPr>
          <w:spacing w:val="-11"/>
        </w:rPr>
        <w:t> </w:t>
      </w:r>
      <w:r>
        <w:rPr/>
        <w:t>Buyer</w:t>
      </w:r>
      <w:r>
        <w:rPr>
          <w:spacing w:val="-9"/>
        </w:rPr>
        <w:t> </w:t>
      </w:r>
      <w:r>
        <w:rPr/>
        <w:t>shall</w:t>
      </w:r>
      <w:r>
        <w:rPr>
          <w:spacing w:val="-9"/>
        </w:rPr>
        <w:t> </w:t>
      </w:r>
      <w:r>
        <w:rPr/>
        <w:t>provide</w:t>
      </w:r>
      <w:r>
        <w:rPr>
          <w:spacing w:val="-11"/>
        </w:rPr>
        <w:t> </w:t>
      </w:r>
      <w:r>
        <w:rPr/>
        <w:t>such</w:t>
      </w:r>
      <w:r>
        <w:rPr>
          <w:spacing w:val="-10"/>
        </w:rPr>
        <w:t> </w:t>
      </w:r>
      <w:r>
        <w:rPr/>
        <w:t>information as</w:t>
      </w:r>
      <w:r>
        <w:rPr>
          <w:spacing w:val="-13"/>
        </w:rPr>
        <w:t> </w:t>
      </w:r>
      <w:r>
        <w:rPr/>
        <w:t>may</w:t>
      </w:r>
      <w:r>
        <w:rPr>
          <w:spacing w:val="-13"/>
        </w:rPr>
        <w:t> </w:t>
      </w:r>
      <w:r>
        <w:rPr/>
        <w:t>reasonably</w:t>
      </w:r>
      <w:r>
        <w:rPr>
          <w:spacing w:val="-12"/>
        </w:rPr>
        <w:t> </w:t>
      </w:r>
      <w:r>
        <w:rPr/>
        <w:t>be</w:t>
      </w:r>
      <w:r>
        <w:rPr>
          <w:spacing w:val="-13"/>
        </w:rPr>
        <w:t> </w:t>
      </w:r>
      <w:r>
        <w:rPr/>
        <w:t>requested</w:t>
      </w:r>
      <w:r>
        <w:rPr>
          <w:spacing w:val="-12"/>
        </w:rPr>
        <w:t> </w:t>
      </w:r>
      <w:r>
        <w:rPr/>
        <w:t>by</w:t>
      </w:r>
      <w:r>
        <w:rPr>
          <w:spacing w:val="-13"/>
        </w:rPr>
        <w:t> </w:t>
      </w:r>
      <w:r>
        <w:rPr/>
        <w:t>Seller</w:t>
      </w:r>
      <w:r>
        <w:rPr>
          <w:spacing w:val="-12"/>
        </w:rPr>
        <w:t> </w:t>
      </w:r>
      <w:r>
        <w:rPr/>
        <w:t>to</w:t>
      </w:r>
      <w:r>
        <w:rPr>
          <w:spacing w:val="-13"/>
        </w:rPr>
        <w:t> </w:t>
      </w:r>
      <w:r>
        <w:rPr/>
        <w:t>substantiate</w:t>
      </w:r>
      <w:r>
        <w:rPr>
          <w:spacing w:val="-12"/>
        </w:rPr>
        <w:t> </w:t>
      </w:r>
      <w:r>
        <w:rPr/>
        <w:t>Buyer’s</w:t>
      </w:r>
      <w:r>
        <w:rPr>
          <w:spacing w:val="-13"/>
        </w:rPr>
        <w:t> </w:t>
      </w:r>
      <w:r>
        <w:rPr/>
        <w:t>creditworthiness</w:t>
      </w:r>
      <w:r>
        <w:rPr>
          <w:spacing w:val="-12"/>
        </w:rPr>
        <w:t> </w:t>
      </w:r>
      <w:r>
        <w:rPr/>
        <w:t>for</w:t>
      </w:r>
      <w:r>
        <w:rPr>
          <w:spacing w:val="-13"/>
        </w:rPr>
        <w:t> </w:t>
      </w:r>
      <w:r>
        <w:rPr/>
        <w:t>the</w:t>
      </w:r>
      <w:r>
        <w:rPr>
          <w:spacing w:val="-13"/>
        </w:rPr>
        <w:t> </w:t>
      </w:r>
      <w:r>
        <w:rPr/>
        <w:t>proposed Seller Carry Back Loan, which may include, without limitation, Buyer tax returns, employment history and verification information, and other financial and credit check background and authorizations. Seller shall have the right to review and approve such information in Seller’s sole discretion. In the event Seller does not approve Buyer’s creditworthiness, Seller shall have no obligation to provide the Seller Carry Back Loan and shall have no liability with respect thereto or</w:t>
      </w:r>
      <w:r>
        <w:rPr>
          <w:spacing w:val="-3"/>
        </w:rPr>
        <w:t> </w:t>
      </w:r>
      <w:r>
        <w:rPr/>
        <w:t>under</w:t>
      </w:r>
      <w:r>
        <w:rPr>
          <w:spacing w:val="-5"/>
        </w:rPr>
        <w:t> </w:t>
      </w:r>
      <w:r>
        <w:rPr/>
        <w:t>this</w:t>
      </w:r>
      <w:r>
        <w:rPr>
          <w:spacing w:val="-5"/>
        </w:rPr>
        <w:t> </w:t>
      </w:r>
      <w:r>
        <w:rPr/>
        <w:t>Addendum,</w:t>
      </w:r>
      <w:r>
        <w:rPr>
          <w:spacing w:val="-3"/>
        </w:rPr>
        <w:t> </w:t>
      </w:r>
      <w:r>
        <w:rPr/>
        <w:t>and</w:t>
      </w:r>
      <w:r>
        <w:rPr>
          <w:spacing w:val="-4"/>
        </w:rPr>
        <w:t> </w:t>
      </w:r>
      <w:r>
        <w:rPr/>
        <w:t>the</w:t>
      </w:r>
      <w:r>
        <w:rPr>
          <w:spacing w:val="-4"/>
        </w:rPr>
        <w:t> </w:t>
      </w:r>
      <w:r>
        <w:rPr/>
        <w:t>same</w:t>
      </w:r>
      <w:r>
        <w:rPr>
          <w:spacing w:val="-4"/>
        </w:rPr>
        <w:t> </w:t>
      </w:r>
      <w:r>
        <w:rPr/>
        <w:t>shall</w:t>
      </w:r>
      <w:r>
        <w:rPr>
          <w:spacing w:val="-2"/>
        </w:rPr>
        <w:t> </w:t>
      </w:r>
      <w:r>
        <w:rPr/>
        <w:t>not</w:t>
      </w:r>
      <w:r>
        <w:rPr>
          <w:spacing w:val="-3"/>
        </w:rPr>
        <w:t> </w:t>
      </w:r>
      <w:r>
        <w:rPr/>
        <w:t>constitute</w:t>
      </w:r>
      <w:r>
        <w:rPr>
          <w:spacing w:val="-4"/>
        </w:rPr>
        <w:t> </w:t>
      </w:r>
      <w:r>
        <w:rPr/>
        <w:t>a</w:t>
      </w:r>
      <w:r>
        <w:rPr>
          <w:spacing w:val="-4"/>
        </w:rPr>
        <w:t> </w:t>
      </w:r>
      <w:r>
        <w:rPr/>
        <w:t>default</w:t>
      </w:r>
      <w:r>
        <w:rPr>
          <w:spacing w:val="-3"/>
        </w:rPr>
        <w:t> </w:t>
      </w:r>
      <w:r>
        <w:rPr/>
        <w:t>on</w:t>
      </w:r>
      <w:r>
        <w:rPr>
          <w:spacing w:val="-4"/>
        </w:rPr>
        <w:t> </w:t>
      </w:r>
      <w:r>
        <w:rPr/>
        <w:t>the</w:t>
      </w:r>
      <w:r>
        <w:rPr>
          <w:spacing w:val="-5"/>
        </w:rPr>
        <w:t> </w:t>
      </w:r>
      <w:r>
        <w:rPr/>
        <w:t>part</w:t>
      </w:r>
      <w:r>
        <w:rPr>
          <w:spacing w:val="-3"/>
        </w:rPr>
        <w:t> </w:t>
      </w:r>
      <w:r>
        <w:rPr/>
        <w:t>of</w:t>
      </w:r>
      <w:r>
        <w:rPr>
          <w:spacing w:val="-4"/>
        </w:rPr>
        <w:t> </w:t>
      </w:r>
      <w:r>
        <w:rPr/>
        <w:t>Seller</w:t>
      </w:r>
      <w:r>
        <w:rPr>
          <w:spacing w:val="-3"/>
        </w:rPr>
        <w:t> </w:t>
      </w:r>
      <w:r>
        <w:rPr/>
        <w:t>under</w:t>
      </w:r>
      <w:r>
        <w:rPr>
          <w:spacing w:val="-5"/>
        </w:rPr>
        <w:t> </w:t>
      </w:r>
      <w:r>
        <w:rPr/>
        <w:t>the Agreement.</w:t>
      </w:r>
    </w:p>
    <w:p>
      <w:pPr>
        <w:pStyle w:val="BodyText"/>
      </w:pPr>
    </w:p>
    <w:p>
      <w:pPr>
        <w:pStyle w:val="ListParagraph"/>
        <w:numPr>
          <w:ilvl w:val="0"/>
          <w:numId w:val="1"/>
        </w:numPr>
        <w:tabs>
          <w:tab w:pos="2460" w:val="left" w:leader="none"/>
        </w:tabs>
        <w:spacing w:line="240" w:lineRule="auto" w:before="0" w:after="0"/>
        <w:ind w:left="300" w:right="178" w:firstLine="1440"/>
        <w:jc w:val="both"/>
        <w:rPr>
          <w:sz w:val="24"/>
        </w:rPr>
      </w:pPr>
      <w:r>
        <w:rPr>
          <w:sz w:val="24"/>
          <w:u w:val="single"/>
        </w:rPr>
        <w:t>Terms</w:t>
      </w:r>
      <w:r>
        <w:rPr>
          <w:sz w:val="24"/>
        </w:rPr>
        <w:t>. The terms of the Seller Carry Back Loan shall be as follows. If requested by Seller, such terms may also be reflected in a promissory note (the “</w:t>
      </w:r>
      <w:r>
        <w:rPr>
          <w:b/>
          <w:sz w:val="24"/>
        </w:rPr>
        <w:t>Note</w:t>
      </w:r>
      <w:r>
        <w:rPr>
          <w:sz w:val="24"/>
        </w:rPr>
        <w:t>”), to be delivered by Buyer to Seller at</w:t>
      </w:r>
      <w:r>
        <w:rPr>
          <w:spacing w:val="-3"/>
          <w:sz w:val="24"/>
        </w:rPr>
        <w:t> </w:t>
      </w:r>
      <w:r>
        <w:rPr>
          <w:sz w:val="24"/>
        </w:rPr>
        <w:t>Closing.</w:t>
      </w:r>
    </w:p>
    <w:p>
      <w:pPr>
        <w:pStyle w:val="BodyText"/>
      </w:pPr>
    </w:p>
    <w:p>
      <w:pPr>
        <w:pStyle w:val="BodyText"/>
        <w:tabs>
          <w:tab w:pos="3899" w:val="left" w:leader="none"/>
          <w:tab w:pos="9539" w:val="left" w:leader="none"/>
        </w:tabs>
        <w:ind w:left="1020"/>
      </w:pPr>
      <w:r>
        <w:rPr/>
        <w:t>Loan</w:t>
      </w:r>
      <w:r>
        <w:rPr>
          <w:spacing w:val="-1"/>
        </w:rPr>
        <w:t> </w:t>
      </w:r>
      <w:r>
        <w:rPr/>
        <w:t>Amount:</w:t>
        <w:tab/>
        <w:t>$</w:t>
      </w:r>
      <w:r>
        <w:rPr>
          <w:u w:val="single"/>
        </w:rPr>
        <w:t> </w:t>
        <w:tab/>
      </w:r>
    </w:p>
    <w:p>
      <w:pPr>
        <w:spacing w:after="0"/>
        <w:sectPr>
          <w:type w:val="continuous"/>
          <w:pgSz w:w="12240" w:h="15840"/>
          <w:pgMar w:top="1360" w:bottom="1340" w:left="1140" w:right="1260"/>
        </w:sectPr>
      </w:pPr>
    </w:p>
    <w:p>
      <w:pPr>
        <w:pStyle w:val="BodyText"/>
        <w:spacing w:before="4"/>
        <w:rPr>
          <w:sz w:val="19"/>
        </w:rPr>
      </w:pPr>
    </w:p>
    <w:tbl>
      <w:tblPr>
        <w:tblW w:w="0" w:type="auto"/>
        <w:jc w:val="left"/>
        <w:tblInd w:w="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3"/>
        <w:gridCol w:w="6136"/>
      </w:tblGrid>
      <w:tr>
        <w:trPr>
          <w:trHeight w:val="408" w:hRule="atLeast"/>
        </w:trPr>
        <w:tc>
          <w:tcPr>
            <w:tcW w:w="2783" w:type="dxa"/>
          </w:tcPr>
          <w:p>
            <w:pPr>
              <w:pStyle w:val="TableParagraph"/>
              <w:spacing w:line="266" w:lineRule="exact" w:before="0"/>
              <w:rPr>
                <w:sz w:val="24"/>
              </w:rPr>
            </w:pPr>
            <w:r>
              <w:rPr>
                <w:sz w:val="24"/>
              </w:rPr>
              <w:t>Interest Rate:</w:t>
            </w:r>
          </w:p>
        </w:tc>
        <w:tc>
          <w:tcPr>
            <w:tcW w:w="6136" w:type="dxa"/>
          </w:tcPr>
          <w:p>
            <w:pPr>
              <w:pStyle w:val="TableParagraph"/>
              <w:tabs>
                <w:tab w:pos="5936" w:val="left" w:leader="none"/>
              </w:tabs>
              <w:spacing w:line="266" w:lineRule="exact" w:before="0"/>
              <w:ind w:left="296"/>
              <w:rPr>
                <w:sz w:val="24"/>
              </w:rPr>
            </w:pPr>
            <w:r>
              <w:rPr>
                <w:sz w:val="24"/>
                <w:u w:val="single"/>
              </w:rPr>
              <w:t> </w:t>
              <w:tab/>
            </w:r>
          </w:p>
        </w:tc>
      </w:tr>
      <w:tr>
        <w:trPr>
          <w:trHeight w:val="551" w:hRule="atLeast"/>
        </w:trPr>
        <w:tc>
          <w:tcPr>
            <w:tcW w:w="2783" w:type="dxa"/>
          </w:tcPr>
          <w:p>
            <w:pPr>
              <w:pStyle w:val="TableParagraph"/>
              <w:rPr>
                <w:sz w:val="24"/>
              </w:rPr>
            </w:pPr>
            <w:r>
              <w:rPr>
                <w:sz w:val="24"/>
              </w:rPr>
              <w:t>Amortization Schedule:</w:t>
            </w:r>
          </w:p>
        </w:tc>
        <w:tc>
          <w:tcPr>
            <w:tcW w:w="6136" w:type="dxa"/>
          </w:tcPr>
          <w:p>
            <w:pPr>
              <w:pStyle w:val="TableParagraph"/>
              <w:tabs>
                <w:tab w:pos="5936" w:val="left" w:leader="none"/>
              </w:tabs>
              <w:ind w:left="296"/>
              <w:rPr>
                <w:sz w:val="24"/>
              </w:rPr>
            </w:pPr>
            <w:r>
              <w:rPr>
                <w:sz w:val="24"/>
                <w:u w:val="single"/>
              </w:rPr>
              <w:t> </w:t>
              <w:tab/>
            </w:r>
          </w:p>
        </w:tc>
      </w:tr>
      <w:tr>
        <w:trPr>
          <w:trHeight w:val="552" w:hRule="atLeast"/>
        </w:trPr>
        <w:tc>
          <w:tcPr>
            <w:tcW w:w="2783" w:type="dxa"/>
          </w:tcPr>
          <w:p>
            <w:pPr>
              <w:pStyle w:val="TableParagraph"/>
              <w:rPr>
                <w:sz w:val="24"/>
              </w:rPr>
            </w:pPr>
            <w:r>
              <w:rPr>
                <w:sz w:val="24"/>
              </w:rPr>
              <w:t>Maturity Date/Term:</w:t>
            </w:r>
          </w:p>
        </w:tc>
        <w:tc>
          <w:tcPr>
            <w:tcW w:w="6136" w:type="dxa"/>
          </w:tcPr>
          <w:p>
            <w:pPr>
              <w:pStyle w:val="TableParagraph"/>
              <w:tabs>
                <w:tab w:pos="5876" w:val="left" w:leader="none"/>
              </w:tabs>
              <w:ind w:left="356"/>
              <w:rPr>
                <w:sz w:val="24"/>
              </w:rPr>
            </w:pPr>
            <w:r>
              <w:rPr>
                <w:sz w:val="24"/>
                <w:u w:val="single"/>
              </w:rPr>
              <w:t> </w:t>
              <w:tab/>
            </w:r>
          </w:p>
        </w:tc>
      </w:tr>
      <w:tr>
        <w:trPr>
          <w:trHeight w:val="551" w:hRule="atLeast"/>
        </w:trPr>
        <w:tc>
          <w:tcPr>
            <w:tcW w:w="2783" w:type="dxa"/>
          </w:tcPr>
          <w:p>
            <w:pPr>
              <w:pStyle w:val="TableParagraph"/>
              <w:rPr>
                <w:sz w:val="24"/>
              </w:rPr>
            </w:pPr>
            <w:r>
              <w:rPr>
                <w:sz w:val="24"/>
              </w:rPr>
              <w:t>Payment Dates:</w:t>
            </w:r>
          </w:p>
        </w:tc>
        <w:tc>
          <w:tcPr>
            <w:tcW w:w="6136" w:type="dxa"/>
          </w:tcPr>
          <w:p>
            <w:pPr>
              <w:pStyle w:val="TableParagraph"/>
              <w:tabs>
                <w:tab w:pos="5936" w:val="left" w:leader="none"/>
              </w:tabs>
              <w:ind w:left="296"/>
              <w:rPr>
                <w:sz w:val="24"/>
              </w:rPr>
            </w:pPr>
            <w:r>
              <w:rPr>
                <w:sz w:val="24"/>
                <w:u w:val="single"/>
              </w:rPr>
              <w:t> </w:t>
              <w:tab/>
            </w:r>
          </w:p>
        </w:tc>
      </w:tr>
      <w:tr>
        <w:trPr>
          <w:trHeight w:val="408" w:hRule="atLeast"/>
        </w:trPr>
        <w:tc>
          <w:tcPr>
            <w:tcW w:w="2783" w:type="dxa"/>
          </w:tcPr>
          <w:p>
            <w:pPr>
              <w:pStyle w:val="TableParagraph"/>
              <w:spacing w:line="256" w:lineRule="exact"/>
              <w:rPr>
                <w:sz w:val="24"/>
              </w:rPr>
            </w:pPr>
            <w:r>
              <w:rPr>
                <w:sz w:val="24"/>
              </w:rPr>
              <w:t>Guarantor (if any):</w:t>
            </w:r>
          </w:p>
        </w:tc>
        <w:tc>
          <w:tcPr>
            <w:tcW w:w="6136" w:type="dxa"/>
          </w:tcPr>
          <w:p>
            <w:pPr>
              <w:pStyle w:val="TableParagraph"/>
              <w:tabs>
                <w:tab w:pos="5936" w:val="left" w:leader="none"/>
              </w:tabs>
              <w:spacing w:line="256" w:lineRule="exact"/>
              <w:ind w:left="296"/>
              <w:rPr>
                <w:sz w:val="24"/>
              </w:rPr>
            </w:pPr>
            <w:r>
              <w:rPr>
                <w:sz w:val="24"/>
                <w:u w:val="single"/>
              </w:rPr>
              <w:t> </w:t>
              <w:tab/>
            </w:r>
          </w:p>
        </w:tc>
      </w:tr>
    </w:tbl>
    <w:p>
      <w:pPr>
        <w:pStyle w:val="BodyText"/>
        <w:spacing w:before="5"/>
        <w:rPr>
          <w:sz w:val="15"/>
        </w:rPr>
      </w:pPr>
    </w:p>
    <w:p>
      <w:pPr>
        <w:pStyle w:val="BodyText"/>
        <w:tabs>
          <w:tab w:pos="5339" w:val="left" w:leader="none"/>
          <w:tab w:pos="6779" w:val="left" w:leader="none"/>
        </w:tabs>
        <w:spacing w:before="101"/>
        <w:ind w:left="1020"/>
      </w:pPr>
      <w:r>
        <w:rPr/>
        <w:t>Prepayment Permitted</w:t>
      </w:r>
      <w:r>
        <w:rPr>
          <w:spacing w:val="-5"/>
        </w:rPr>
        <w:t> </w:t>
      </w:r>
      <w:r>
        <w:rPr/>
        <w:t>without</w:t>
      </w:r>
      <w:r>
        <w:rPr>
          <w:spacing w:val="-2"/>
        </w:rPr>
        <w:t> </w:t>
      </w:r>
      <w:r>
        <w:rPr/>
        <w:t>Premium:</w:t>
        <w:tab/>
      </w:r>
      <w:r>
        <w:rPr>
          <w:rFonts w:ascii="Segoe UI Symbol" w:hAnsi="Segoe UI Symbol"/>
        </w:rPr>
        <w:t>☐</w:t>
      </w:r>
      <w:r>
        <w:rPr>
          <w:rFonts w:ascii="Segoe UI Symbol" w:hAnsi="Segoe UI Symbol"/>
          <w:spacing w:val="-7"/>
        </w:rPr>
        <w:t> </w:t>
      </w:r>
      <w:r>
        <w:rPr/>
        <w:t>Yes</w:t>
        <w:tab/>
      </w:r>
      <w:r>
        <w:rPr>
          <w:rFonts w:ascii="Segoe UI Symbol" w:hAnsi="Segoe UI Symbol"/>
        </w:rPr>
        <w:t>☐</w:t>
      </w:r>
      <w:r>
        <w:rPr>
          <w:rFonts w:ascii="Segoe UI Symbol" w:hAnsi="Segoe UI Symbol"/>
          <w:spacing w:val="-1"/>
        </w:rPr>
        <w:t> </w:t>
      </w:r>
      <w:r>
        <w:rPr/>
        <w:t>No</w:t>
      </w:r>
    </w:p>
    <w:p>
      <w:pPr>
        <w:pStyle w:val="BodyText"/>
        <w:tabs>
          <w:tab w:pos="9617" w:val="left" w:leader="none"/>
        </w:tabs>
        <w:spacing w:before="273"/>
        <w:ind w:left="1020"/>
      </w:pPr>
      <w:r>
        <w:rPr/>
        <w:t>Prepayment Premium (if</w:t>
      </w:r>
      <w:r>
        <w:rPr>
          <w:spacing w:val="-9"/>
        </w:rPr>
        <w:t> </w:t>
      </w:r>
      <w:r>
        <w:rPr/>
        <w:t>applicable)</w:t>
      </w:r>
      <w:r>
        <w:rPr>
          <w:spacing w:val="-1"/>
        </w:rPr>
        <w:t> </w:t>
      </w:r>
      <w:r>
        <w:rPr>
          <w:u w:val="single"/>
        </w:rPr>
        <w:t> </w:t>
        <w:tab/>
      </w:r>
    </w:p>
    <w:p>
      <w:pPr>
        <w:pStyle w:val="BodyText"/>
        <w:spacing w:before="2"/>
        <w:rPr>
          <w:sz w:val="16"/>
        </w:rPr>
      </w:pPr>
    </w:p>
    <w:p>
      <w:pPr>
        <w:pStyle w:val="BodyText"/>
        <w:tabs>
          <w:tab w:pos="3899" w:val="left" w:leader="none"/>
          <w:tab w:pos="9659" w:val="left" w:leader="none"/>
        </w:tabs>
        <w:spacing w:before="90"/>
        <w:ind w:left="1020"/>
      </w:pPr>
      <w:r>
        <w:rPr/>
        <w:t>Loan Fee (if</w:t>
      </w:r>
      <w:r>
        <w:rPr>
          <w:spacing w:val="-6"/>
        </w:rPr>
        <w:t> </w:t>
      </w:r>
      <w:r>
        <w:rPr/>
        <w:t>applicable):</w:t>
        <w:tab/>
      </w:r>
      <w:r>
        <w:rPr>
          <w:u w:val="single"/>
        </w:rPr>
        <w:t> </w:t>
        <w:tab/>
      </w:r>
    </w:p>
    <w:p>
      <w:pPr>
        <w:pStyle w:val="BodyText"/>
        <w:spacing w:before="2"/>
        <w:rPr>
          <w:sz w:val="16"/>
        </w:rPr>
      </w:pPr>
    </w:p>
    <w:p>
      <w:pPr>
        <w:pStyle w:val="BodyText"/>
        <w:tabs>
          <w:tab w:pos="3899" w:val="left" w:leader="none"/>
        </w:tabs>
        <w:spacing w:before="90"/>
        <w:ind w:left="3900" w:right="177" w:hanging="2880"/>
        <w:jc w:val="both"/>
      </w:pPr>
      <w:r>
        <w:rPr/>
        <w:t>Late</w:t>
      </w:r>
      <w:r>
        <w:rPr>
          <w:spacing w:val="-1"/>
        </w:rPr>
        <w:t> </w:t>
      </w:r>
      <w:r>
        <w:rPr/>
        <w:t>Fee:</w:t>
        <w:tab/>
        <w:t>If payment is not received within days of the due date therefor, a late fee in the amount of</w:t>
      </w:r>
      <w:r>
        <w:rPr>
          <w:u w:val="single"/>
        </w:rPr>
        <w:t>  </w:t>
      </w:r>
      <w:r>
        <w:rPr/>
        <w:t>%  of  the  late payment shall be due</w:t>
      </w:r>
      <w:r>
        <w:rPr>
          <w:spacing w:val="-1"/>
        </w:rPr>
        <w:t> </w:t>
      </w:r>
      <w:r>
        <w:rPr/>
        <w:t>Seller</w:t>
      </w:r>
    </w:p>
    <w:p>
      <w:pPr>
        <w:pStyle w:val="BodyText"/>
        <w:rPr>
          <w:sz w:val="26"/>
        </w:rPr>
      </w:pPr>
    </w:p>
    <w:p>
      <w:pPr>
        <w:pStyle w:val="BodyText"/>
        <w:rPr>
          <w:sz w:val="22"/>
        </w:rPr>
      </w:pPr>
    </w:p>
    <w:p>
      <w:pPr>
        <w:pStyle w:val="ListParagraph"/>
        <w:numPr>
          <w:ilvl w:val="0"/>
          <w:numId w:val="1"/>
        </w:numPr>
        <w:tabs>
          <w:tab w:pos="2459" w:val="left" w:leader="none"/>
          <w:tab w:pos="2460" w:val="left" w:leader="none"/>
        </w:tabs>
        <w:spacing w:line="240" w:lineRule="auto" w:before="0" w:after="0"/>
        <w:ind w:left="2460" w:right="0" w:hanging="720"/>
        <w:jc w:val="left"/>
        <w:rPr>
          <w:sz w:val="24"/>
        </w:rPr>
      </w:pPr>
      <w:r>
        <w:rPr>
          <w:sz w:val="24"/>
          <w:u w:val="single"/>
        </w:rPr>
        <w:t>Collateral/Security for Seller Carry Back</w:t>
      </w:r>
      <w:r>
        <w:rPr>
          <w:spacing w:val="-4"/>
          <w:sz w:val="24"/>
          <w:u w:val="single"/>
        </w:rPr>
        <w:t> </w:t>
      </w:r>
      <w:r>
        <w:rPr>
          <w:sz w:val="24"/>
          <w:u w:val="single"/>
        </w:rPr>
        <w:t>Loan</w:t>
      </w:r>
      <w:r>
        <w:rPr>
          <w:sz w:val="24"/>
        </w:rPr>
        <w:t>.</w:t>
      </w:r>
    </w:p>
    <w:p>
      <w:pPr>
        <w:pStyle w:val="BodyText"/>
        <w:rPr>
          <w:sz w:val="26"/>
        </w:rPr>
      </w:pPr>
    </w:p>
    <w:p>
      <w:pPr>
        <w:pStyle w:val="BodyText"/>
        <w:spacing w:before="3"/>
        <w:rPr>
          <w:sz w:val="22"/>
        </w:rPr>
      </w:pPr>
    </w:p>
    <w:p>
      <w:pPr>
        <w:pStyle w:val="ListParagraph"/>
        <w:numPr>
          <w:ilvl w:val="0"/>
          <w:numId w:val="2"/>
        </w:numPr>
        <w:tabs>
          <w:tab w:pos="2459" w:val="left" w:leader="none"/>
          <w:tab w:pos="2460" w:val="left" w:leader="none"/>
        </w:tabs>
        <w:spacing w:line="240" w:lineRule="auto" w:before="0" w:after="0"/>
        <w:ind w:left="2460" w:right="176" w:hanging="1440"/>
        <w:jc w:val="both"/>
        <w:rPr>
          <w:sz w:val="24"/>
        </w:rPr>
      </w:pPr>
      <w:r>
        <w:rPr>
          <w:sz w:val="24"/>
        </w:rPr>
        <w:t>The Seller Carry Back Loan shall be secured by a first priority mortgage, deed of trust, or deed to secure debt lien on the Property (any of the foregoing, a</w:t>
      </w:r>
      <w:r>
        <w:rPr>
          <w:spacing w:val="-2"/>
          <w:sz w:val="24"/>
        </w:rPr>
        <w:t> </w:t>
      </w:r>
      <w:r>
        <w:rPr>
          <w:sz w:val="24"/>
        </w:rPr>
        <w:t>“</w:t>
      </w:r>
      <w:r>
        <w:rPr>
          <w:b/>
          <w:sz w:val="24"/>
        </w:rPr>
        <w:t>Mortgage</w:t>
      </w:r>
      <w:r>
        <w:rPr>
          <w:sz w:val="24"/>
        </w:rPr>
        <w:t>”).</w:t>
      </w:r>
    </w:p>
    <w:p>
      <w:pPr>
        <w:pStyle w:val="BodyText"/>
        <w:spacing w:before="2"/>
      </w:pPr>
    </w:p>
    <w:p>
      <w:pPr>
        <w:pStyle w:val="ListParagraph"/>
        <w:numPr>
          <w:ilvl w:val="0"/>
          <w:numId w:val="2"/>
        </w:numPr>
        <w:tabs>
          <w:tab w:pos="2459" w:val="left" w:leader="none"/>
          <w:tab w:pos="2460" w:val="left" w:leader="none"/>
        </w:tabs>
        <w:spacing w:line="237" w:lineRule="auto" w:before="0" w:after="0"/>
        <w:ind w:left="2460" w:right="180" w:hanging="1440"/>
        <w:jc w:val="both"/>
        <w:rPr>
          <w:sz w:val="24"/>
        </w:rPr>
      </w:pPr>
      <w:r>
        <w:rPr>
          <w:sz w:val="24"/>
        </w:rPr>
        <w:t>The</w:t>
      </w:r>
      <w:r>
        <w:rPr>
          <w:spacing w:val="-5"/>
          <w:sz w:val="24"/>
        </w:rPr>
        <w:t> </w:t>
      </w:r>
      <w:r>
        <w:rPr>
          <w:sz w:val="24"/>
        </w:rPr>
        <w:t>Seller</w:t>
      </w:r>
      <w:r>
        <w:rPr>
          <w:spacing w:val="-5"/>
          <w:sz w:val="24"/>
        </w:rPr>
        <w:t> </w:t>
      </w:r>
      <w:r>
        <w:rPr>
          <w:sz w:val="24"/>
        </w:rPr>
        <w:t>Carry</w:t>
      </w:r>
      <w:r>
        <w:rPr>
          <w:spacing w:val="-5"/>
          <w:sz w:val="24"/>
        </w:rPr>
        <w:t> </w:t>
      </w:r>
      <w:r>
        <w:rPr>
          <w:sz w:val="24"/>
        </w:rPr>
        <w:t>Back</w:t>
      </w:r>
      <w:r>
        <w:rPr>
          <w:spacing w:val="-5"/>
          <w:sz w:val="24"/>
        </w:rPr>
        <w:t> </w:t>
      </w:r>
      <w:r>
        <w:rPr>
          <w:sz w:val="24"/>
        </w:rPr>
        <w:t>Loan</w:t>
      </w:r>
      <w:r>
        <w:rPr>
          <w:spacing w:val="-5"/>
          <w:sz w:val="24"/>
        </w:rPr>
        <w:t> </w:t>
      </w:r>
      <w:r>
        <w:rPr>
          <w:sz w:val="24"/>
        </w:rPr>
        <w:t>shall</w:t>
      </w:r>
      <w:r>
        <w:rPr>
          <w:spacing w:val="-4"/>
          <w:sz w:val="24"/>
        </w:rPr>
        <w:t> </w:t>
      </w:r>
      <w:r>
        <w:rPr>
          <w:sz w:val="24"/>
        </w:rPr>
        <w:t>be</w:t>
      </w:r>
      <w:r>
        <w:rPr>
          <w:spacing w:val="-6"/>
          <w:sz w:val="24"/>
        </w:rPr>
        <w:t> </w:t>
      </w:r>
      <w:r>
        <w:rPr>
          <w:sz w:val="24"/>
        </w:rPr>
        <w:t>secured</w:t>
      </w:r>
      <w:r>
        <w:rPr>
          <w:spacing w:val="-5"/>
          <w:sz w:val="24"/>
        </w:rPr>
        <w:t> </w:t>
      </w:r>
      <w:r>
        <w:rPr>
          <w:sz w:val="24"/>
        </w:rPr>
        <w:t>by</w:t>
      </w:r>
      <w:r>
        <w:rPr>
          <w:spacing w:val="-5"/>
          <w:sz w:val="24"/>
        </w:rPr>
        <w:t> </w:t>
      </w:r>
      <w:r>
        <w:rPr>
          <w:sz w:val="24"/>
        </w:rPr>
        <w:t>a</w:t>
      </w:r>
      <w:r>
        <w:rPr>
          <w:spacing w:val="-6"/>
          <w:sz w:val="24"/>
        </w:rPr>
        <w:t> </w:t>
      </w:r>
      <w:r>
        <w:rPr>
          <w:sz w:val="24"/>
        </w:rPr>
        <w:t>subordinate</w:t>
      </w:r>
      <w:r>
        <w:rPr>
          <w:spacing w:val="-5"/>
          <w:sz w:val="24"/>
        </w:rPr>
        <w:t> </w:t>
      </w:r>
      <w:r>
        <w:rPr>
          <w:sz w:val="24"/>
        </w:rPr>
        <w:t>Mortgage</w:t>
      </w:r>
      <w:r>
        <w:rPr>
          <w:spacing w:val="-5"/>
          <w:sz w:val="24"/>
        </w:rPr>
        <w:t> </w:t>
      </w:r>
      <w:r>
        <w:rPr>
          <w:sz w:val="24"/>
        </w:rPr>
        <w:t>on the</w:t>
      </w:r>
      <w:r>
        <w:rPr>
          <w:spacing w:val="-1"/>
          <w:sz w:val="24"/>
        </w:rPr>
        <w:t> </w:t>
      </w:r>
      <w:r>
        <w:rPr>
          <w:sz w:val="24"/>
        </w:rPr>
        <w:t>Property.</w:t>
      </w:r>
    </w:p>
    <w:p>
      <w:pPr>
        <w:pStyle w:val="BodyText"/>
        <w:spacing w:before="5"/>
      </w:pPr>
    </w:p>
    <w:p>
      <w:pPr>
        <w:pStyle w:val="ListParagraph"/>
        <w:numPr>
          <w:ilvl w:val="0"/>
          <w:numId w:val="2"/>
        </w:numPr>
        <w:tabs>
          <w:tab w:pos="2459" w:val="left" w:leader="none"/>
          <w:tab w:pos="2460" w:val="left" w:leader="none"/>
        </w:tabs>
        <w:spacing w:line="237" w:lineRule="auto" w:before="0" w:after="0"/>
        <w:ind w:left="2459" w:right="178" w:hanging="1440"/>
        <w:jc w:val="both"/>
        <w:rPr>
          <w:sz w:val="24"/>
        </w:rPr>
      </w:pPr>
      <w:r>
        <w:rPr>
          <w:sz w:val="24"/>
        </w:rPr>
        <w:t>The Seller Carry Back Loan shall be unsecured. Accordingly, Seller shall not receive a Mortgage on the</w:t>
      </w:r>
      <w:r>
        <w:rPr>
          <w:spacing w:val="-2"/>
          <w:sz w:val="24"/>
        </w:rPr>
        <w:t> </w:t>
      </w:r>
      <w:r>
        <w:rPr>
          <w:sz w:val="24"/>
        </w:rPr>
        <w:t>Property.</w:t>
      </w:r>
    </w:p>
    <w:p>
      <w:pPr>
        <w:pStyle w:val="BodyText"/>
        <w:rPr>
          <w:sz w:val="26"/>
        </w:rPr>
      </w:pPr>
    </w:p>
    <w:p>
      <w:pPr>
        <w:pStyle w:val="BodyText"/>
        <w:spacing w:before="1"/>
        <w:rPr>
          <w:sz w:val="22"/>
        </w:rPr>
      </w:pPr>
    </w:p>
    <w:p>
      <w:pPr>
        <w:pStyle w:val="BodyText"/>
        <w:ind w:left="299" w:right="177" w:firstLine="780"/>
        <w:jc w:val="both"/>
      </w:pPr>
      <w:r>
        <w:rPr/>
        <w:t>In the event the Seller Carry Back Loan shall be secured by a Mortgage (whether senior or subordinate), Buyer and Seller shall agree to the form of Mortgage instrument prior to the Closing.</w:t>
      </w:r>
    </w:p>
    <w:p>
      <w:pPr>
        <w:pStyle w:val="BodyText"/>
        <w:spacing w:before="3"/>
      </w:pPr>
    </w:p>
    <w:p>
      <w:pPr>
        <w:pStyle w:val="ListParagraph"/>
        <w:numPr>
          <w:ilvl w:val="0"/>
          <w:numId w:val="2"/>
        </w:numPr>
        <w:tabs>
          <w:tab w:pos="1326" w:val="left" w:leader="none"/>
        </w:tabs>
        <w:spacing w:line="240" w:lineRule="auto" w:before="0" w:after="0"/>
        <w:ind w:left="299" w:right="177" w:firstLine="720"/>
        <w:jc w:val="both"/>
        <w:rPr>
          <w:sz w:val="24"/>
        </w:rPr>
      </w:pPr>
      <w:r>
        <w:rPr>
          <w:sz w:val="24"/>
        </w:rPr>
        <w:t>Buyer </w:t>
      </w:r>
      <w:r>
        <w:rPr>
          <w:rFonts w:ascii="Segoe UI Symbol" w:hAnsi="Segoe UI Symbol"/>
          <w:sz w:val="24"/>
        </w:rPr>
        <w:t>☐ </w:t>
      </w:r>
      <w:r>
        <w:rPr>
          <w:sz w:val="24"/>
        </w:rPr>
        <w:t>Seller shall be responsible for all costs and expenses associated with the creation and grant of the Mortgage, as well as the recording, stamp, intangible taxes, and the like (if any), associated with the creation and recordation of the</w:t>
      </w:r>
      <w:r>
        <w:rPr>
          <w:spacing w:val="-9"/>
          <w:sz w:val="24"/>
        </w:rPr>
        <w:t> </w:t>
      </w:r>
      <w:r>
        <w:rPr>
          <w:sz w:val="24"/>
        </w:rPr>
        <w:t>Mortgage.</w:t>
      </w:r>
    </w:p>
    <w:p>
      <w:pPr>
        <w:pStyle w:val="BodyText"/>
        <w:spacing w:before="9"/>
        <w:rPr>
          <w:sz w:val="23"/>
        </w:rPr>
      </w:pPr>
    </w:p>
    <w:p>
      <w:pPr>
        <w:pStyle w:val="ListParagraph"/>
        <w:numPr>
          <w:ilvl w:val="0"/>
          <w:numId w:val="1"/>
        </w:numPr>
        <w:tabs>
          <w:tab w:pos="2459" w:val="left" w:leader="none"/>
          <w:tab w:pos="2460" w:val="left" w:leader="none"/>
        </w:tabs>
        <w:spacing w:line="240" w:lineRule="auto" w:before="0" w:after="0"/>
        <w:ind w:left="2460" w:right="0" w:hanging="720"/>
        <w:jc w:val="left"/>
        <w:rPr>
          <w:sz w:val="24"/>
        </w:rPr>
      </w:pPr>
      <w:r>
        <w:rPr>
          <w:sz w:val="24"/>
          <w:u w:val="single"/>
        </w:rPr>
        <w:t>Due on Sale</w:t>
      </w:r>
      <w:r>
        <w:rPr>
          <w:spacing w:val="-1"/>
          <w:sz w:val="24"/>
          <w:u w:val="single"/>
        </w:rPr>
        <w:t> </w:t>
      </w:r>
      <w:r>
        <w:rPr>
          <w:sz w:val="24"/>
          <w:u w:val="single"/>
        </w:rPr>
        <w:t>Clause</w:t>
      </w:r>
      <w:r>
        <w:rPr>
          <w:sz w:val="24"/>
        </w:rPr>
        <w:t>.</w:t>
      </w:r>
    </w:p>
    <w:p>
      <w:pPr>
        <w:spacing w:after="0" w:line="240" w:lineRule="auto"/>
        <w:jc w:val="left"/>
        <w:rPr>
          <w:sz w:val="24"/>
        </w:rPr>
        <w:sectPr>
          <w:pgSz w:w="12240" w:h="15840"/>
          <w:pgMar w:header="0" w:footer="1152" w:top="1500" w:bottom="1480" w:left="1140" w:right="1260"/>
        </w:sectPr>
      </w:pPr>
    </w:p>
    <w:p>
      <w:pPr>
        <w:pStyle w:val="ListParagraph"/>
        <w:numPr>
          <w:ilvl w:val="0"/>
          <w:numId w:val="2"/>
        </w:numPr>
        <w:tabs>
          <w:tab w:pos="2459" w:val="left" w:leader="none"/>
          <w:tab w:pos="2460" w:val="left" w:leader="none"/>
        </w:tabs>
        <w:spacing w:line="240" w:lineRule="auto" w:before="79" w:after="0"/>
        <w:ind w:left="2460" w:right="177" w:hanging="1440"/>
        <w:jc w:val="both"/>
        <w:rPr>
          <w:sz w:val="24"/>
        </w:rPr>
      </w:pPr>
      <w:r>
        <w:rPr>
          <w:sz w:val="24"/>
        </w:rPr>
        <w:t>Without Seller’s prior written approval in Seller’s sole and absolute discretion, Buyer shall not Transfer (as hereinafter defined) the Property while the Seller Carry Back Loan is outstanding. If Buyer breaches this provision by Transferring the Property, the Seller Carry Back Loan shall become immediately due and payable in</w:t>
      </w:r>
      <w:r>
        <w:rPr>
          <w:spacing w:val="-1"/>
          <w:sz w:val="24"/>
        </w:rPr>
        <w:t> </w:t>
      </w:r>
      <w:r>
        <w:rPr>
          <w:sz w:val="24"/>
        </w:rPr>
        <w:t>full.</w:t>
      </w:r>
    </w:p>
    <w:p>
      <w:pPr>
        <w:pStyle w:val="BodyText"/>
        <w:spacing w:before="2"/>
      </w:pPr>
    </w:p>
    <w:p>
      <w:pPr>
        <w:pStyle w:val="ListParagraph"/>
        <w:numPr>
          <w:ilvl w:val="0"/>
          <w:numId w:val="2"/>
        </w:numPr>
        <w:tabs>
          <w:tab w:pos="2459" w:val="left" w:leader="none"/>
          <w:tab w:pos="2460" w:val="left" w:leader="none"/>
        </w:tabs>
        <w:spacing w:line="237" w:lineRule="auto" w:before="0" w:after="0"/>
        <w:ind w:left="2460" w:right="178" w:hanging="1440"/>
        <w:jc w:val="both"/>
        <w:rPr>
          <w:sz w:val="24"/>
        </w:rPr>
      </w:pPr>
      <w:r>
        <w:rPr>
          <w:sz w:val="24"/>
        </w:rPr>
        <w:t>Buyer shall have the right to Transfer the Property while the Seller Carry Back Loan is</w:t>
      </w:r>
      <w:r>
        <w:rPr>
          <w:spacing w:val="-1"/>
          <w:sz w:val="24"/>
        </w:rPr>
        <w:t> </w:t>
      </w:r>
      <w:r>
        <w:rPr>
          <w:sz w:val="24"/>
        </w:rPr>
        <w:t>outstanding.</w:t>
      </w:r>
    </w:p>
    <w:p>
      <w:pPr>
        <w:pStyle w:val="BodyText"/>
        <w:spacing w:before="1"/>
      </w:pPr>
    </w:p>
    <w:p>
      <w:pPr>
        <w:pStyle w:val="BodyText"/>
        <w:spacing w:before="1"/>
        <w:ind w:left="1739" w:right="177"/>
        <w:jc w:val="both"/>
      </w:pPr>
      <w:r>
        <w:rPr/>
        <w:t>For purposes of this Addendum, the term “Transfer” means any sale, conveyance, lease,</w:t>
      </w:r>
      <w:r>
        <w:rPr>
          <w:spacing w:val="-13"/>
        </w:rPr>
        <w:t> </w:t>
      </w:r>
      <w:r>
        <w:rPr/>
        <w:t>or</w:t>
      </w:r>
      <w:r>
        <w:rPr>
          <w:spacing w:val="-12"/>
        </w:rPr>
        <w:t> </w:t>
      </w:r>
      <w:r>
        <w:rPr/>
        <w:t>encumbrance</w:t>
      </w:r>
      <w:r>
        <w:rPr>
          <w:spacing w:val="-12"/>
        </w:rPr>
        <w:t> </w:t>
      </w:r>
      <w:r>
        <w:rPr/>
        <w:t>of</w:t>
      </w:r>
      <w:r>
        <w:rPr>
          <w:spacing w:val="-14"/>
        </w:rPr>
        <w:t> </w:t>
      </w:r>
      <w:r>
        <w:rPr/>
        <w:t>the</w:t>
      </w:r>
      <w:r>
        <w:rPr>
          <w:spacing w:val="-12"/>
        </w:rPr>
        <w:t> </w:t>
      </w:r>
      <w:r>
        <w:rPr/>
        <w:t>Property,</w:t>
      </w:r>
      <w:r>
        <w:rPr>
          <w:spacing w:val="-12"/>
        </w:rPr>
        <w:t> </w:t>
      </w:r>
      <w:r>
        <w:rPr/>
        <w:t>whether</w:t>
      </w:r>
      <w:r>
        <w:rPr>
          <w:spacing w:val="-13"/>
        </w:rPr>
        <w:t> </w:t>
      </w:r>
      <w:r>
        <w:rPr/>
        <w:t>voluntary</w:t>
      </w:r>
      <w:r>
        <w:rPr>
          <w:spacing w:val="-12"/>
        </w:rPr>
        <w:t> </w:t>
      </w:r>
      <w:r>
        <w:rPr/>
        <w:t>or</w:t>
      </w:r>
      <w:r>
        <w:rPr>
          <w:spacing w:val="-12"/>
        </w:rPr>
        <w:t> </w:t>
      </w:r>
      <w:r>
        <w:rPr/>
        <w:t>involuntary,</w:t>
      </w:r>
      <w:r>
        <w:rPr>
          <w:spacing w:val="-13"/>
        </w:rPr>
        <w:t> </w:t>
      </w:r>
      <w:r>
        <w:rPr/>
        <w:t>including, without limitation, any easement, grant deed, lease, mechanics lien, tax lien, or secured</w:t>
      </w:r>
      <w:r>
        <w:rPr>
          <w:spacing w:val="-3"/>
        </w:rPr>
        <w:t> </w:t>
      </w:r>
      <w:r>
        <w:rPr/>
        <w:t>loan.</w:t>
      </w:r>
    </w:p>
    <w:p>
      <w:pPr>
        <w:pStyle w:val="BodyText"/>
        <w:spacing w:before="11"/>
        <w:rPr>
          <w:sz w:val="23"/>
        </w:rPr>
      </w:pPr>
    </w:p>
    <w:p>
      <w:pPr>
        <w:pStyle w:val="ListParagraph"/>
        <w:numPr>
          <w:ilvl w:val="0"/>
          <w:numId w:val="1"/>
        </w:numPr>
        <w:tabs>
          <w:tab w:pos="2460" w:val="left" w:leader="none"/>
        </w:tabs>
        <w:spacing w:line="240" w:lineRule="auto" w:before="0" w:after="0"/>
        <w:ind w:left="299" w:right="177" w:firstLine="1440"/>
        <w:jc w:val="both"/>
        <w:rPr>
          <w:sz w:val="24"/>
        </w:rPr>
      </w:pPr>
      <w:r>
        <w:rPr>
          <w:sz w:val="24"/>
          <w:u w:val="single"/>
        </w:rPr>
        <w:t>Property</w:t>
      </w:r>
      <w:r>
        <w:rPr>
          <w:spacing w:val="-6"/>
          <w:sz w:val="24"/>
          <w:u w:val="single"/>
        </w:rPr>
        <w:t> </w:t>
      </w:r>
      <w:r>
        <w:rPr>
          <w:sz w:val="24"/>
          <w:u w:val="single"/>
        </w:rPr>
        <w:t>Taxes</w:t>
      </w:r>
      <w:r>
        <w:rPr>
          <w:spacing w:val="-4"/>
          <w:sz w:val="24"/>
          <w:u w:val="single"/>
        </w:rPr>
        <w:t> </w:t>
      </w:r>
      <w:r>
        <w:rPr>
          <w:sz w:val="24"/>
          <w:u w:val="single"/>
        </w:rPr>
        <w:t>and</w:t>
      </w:r>
      <w:r>
        <w:rPr>
          <w:spacing w:val="-5"/>
          <w:sz w:val="24"/>
          <w:u w:val="single"/>
        </w:rPr>
        <w:t> </w:t>
      </w:r>
      <w:r>
        <w:rPr>
          <w:sz w:val="24"/>
          <w:u w:val="single"/>
        </w:rPr>
        <w:t>Insurance</w:t>
      </w:r>
      <w:r>
        <w:rPr>
          <w:sz w:val="24"/>
        </w:rPr>
        <w:t>.</w:t>
      </w:r>
      <w:r>
        <w:rPr>
          <w:spacing w:val="-5"/>
          <w:sz w:val="24"/>
        </w:rPr>
        <w:t> </w:t>
      </w:r>
      <w:r>
        <w:rPr>
          <w:sz w:val="24"/>
        </w:rPr>
        <w:t>For</w:t>
      </w:r>
      <w:r>
        <w:rPr>
          <w:spacing w:val="-3"/>
          <w:sz w:val="24"/>
        </w:rPr>
        <w:t> </w:t>
      </w:r>
      <w:r>
        <w:rPr>
          <w:sz w:val="24"/>
        </w:rPr>
        <w:t>so</w:t>
      </w:r>
      <w:r>
        <w:rPr>
          <w:spacing w:val="-4"/>
          <w:sz w:val="24"/>
        </w:rPr>
        <w:t> </w:t>
      </w:r>
      <w:r>
        <w:rPr>
          <w:sz w:val="24"/>
        </w:rPr>
        <w:t>long</w:t>
      </w:r>
      <w:r>
        <w:rPr>
          <w:spacing w:val="-5"/>
          <w:sz w:val="24"/>
        </w:rPr>
        <w:t> </w:t>
      </w:r>
      <w:r>
        <w:rPr>
          <w:sz w:val="24"/>
        </w:rPr>
        <w:t>as</w:t>
      </w:r>
      <w:r>
        <w:rPr>
          <w:spacing w:val="-5"/>
          <w:sz w:val="24"/>
        </w:rPr>
        <w:t> </w:t>
      </w:r>
      <w:r>
        <w:rPr>
          <w:sz w:val="24"/>
        </w:rPr>
        <w:t>the</w:t>
      </w:r>
      <w:r>
        <w:rPr>
          <w:spacing w:val="-5"/>
          <w:sz w:val="24"/>
        </w:rPr>
        <w:t> </w:t>
      </w:r>
      <w:r>
        <w:rPr>
          <w:sz w:val="24"/>
        </w:rPr>
        <w:t>Seller</w:t>
      </w:r>
      <w:r>
        <w:rPr>
          <w:spacing w:val="-3"/>
          <w:sz w:val="24"/>
        </w:rPr>
        <w:t> </w:t>
      </w:r>
      <w:r>
        <w:rPr>
          <w:sz w:val="24"/>
        </w:rPr>
        <w:t>Carry</w:t>
      </w:r>
      <w:r>
        <w:rPr>
          <w:spacing w:val="-5"/>
          <w:sz w:val="24"/>
        </w:rPr>
        <w:t> </w:t>
      </w:r>
      <w:r>
        <w:rPr>
          <w:sz w:val="24"/>
        </w:rPr>
        <w:t>Back</w:t>
      </w:r>
      <w:r>
        <w:rPr>
          <w:spacing w:val="-4"/>
          <w:sz w:val="24"/>
        </w:rPr>
        <w:t> </w:t>
      </w:r>
      <w:r>
        <w:rPr>
          <w:sz w:val="24"/>
        </w:rPr>
        <w:t>Loan</w:t>
      </w:r>
      <w:r>
        <w:rPr>
          <w:spacing w:val="-5"/>
          <w:sz w:val="24"/>
        </w:rPr>
        <w:t> </w:t>
      </w:r>
      <w:r>
        <w:rPr>
          <w:sz w:val="24"/>
        </w:rPr>
        <w:t>is outstanding, Buyer shall insure that all property taxes with respect to the Property are timely paid when due, and that that the Property is insured for its full fair market value. For so long as the Seller Carry Back Loan is outstanding, Seller shall have the right to approve Buyer’s insurance with respect to the Property (which approval shall not be unreasonably withheld, conditioned, or delayed),</w:t>
      </w:r>
      <w:r>
        <w:rPr>
          <w:spacing w:val="-16"/>
          <w:sz w:val="24"/>
        </w:rPr>
        <w:t> </w:t>
      </w:r>
      <w:r>
        <w:rPr>
          <w:sz w:val="24"/>
        </w:rPr>
        <w:t>and</w:t>
      </w:r>
      <w:r>
        <w:rPr>
          <w:spacing w:val="-15"/>
          <w:sz w:val="24"/>
        </w:rPr>
        <w:t> </w:t>
      </w:r>
      <w:r>
        <w:rPr>
          <w:sz w:val="24"/>
        </w:rPr>
        <w:t>Buyer</w:t>
      </w:r>
      <w:r>
        <w:rPr>
          <w:spacing w:val="-14"/>
          <w:sz w:val="24"/>
        </w:rPr>
        <w:t> </w:t>
      </w:r>
      <w:r>
        <w:rPr>
          <w:sz w:val="24"/>
        </w:rPr>
        <w:t>shall</w:t>
      </w:r>
      <w:r>
        <w:rPr>
          <w:spacing w:val="-14"/>
          <w:sz w:val="24"/>
        </w:rPr>
        <w:t> </w:t>
      </w:r>
      <w:r>
        <w:rPr>
          <w:sz w:val="24"/>
        </w:rPr>
        <w:t>name</w:t>
      </w:r>
      <w:r>
        <w:rPr>
          <w:spacing w:val="-15"/>
          <w:sz w:val="24"/>
        </w:rPr>
        <w:t> </w:t>
      </w:r>
      <w:r>
        <w:rPr>
          <w:sz w:val="24"/>
        </w:rPr>
        <w:t>Seller</w:t>
      </w:r>
      <w:r>
        <w:rPr>
          <w:spacing w:val="-14"/>
          <w:sz w:val="24"/>
        </w:rPr>
        <w:t> </w:t>
      </w:r>
      <w:r>
        <w:rPr>
          <w:sz w:val="24"/>
        </w:rPr>
        <w:t>as</w:t>
      </w:r>
      <w:r>
        <w:rPr>
          <w:spacing w:val="-14"/>
          <w:sz w:val="24"/>
        </w:rPr>
        <w:t> </w:t>
      </w:r>
      <w:r>
        <w:rPr>
          <w:sz w:val="24"/>
        </w:rPr>
        <w:t>an</w:t>
      </w:r>
      <w:r>
        <w:rPr>
          <w:spacing w:val="-15"/>
          <w:sz w:val="24"/>
        </w:rPr>
        <w:t> </w:t>
      </w:r>
      <w:r>
        <w:rPr>
          <w:sz w:val="24"/>
        </w:rPr>
        <w:t>additional</w:t>
      </w:r>
      <w:r>
        <w:rPr>
          <w:spacing w:val="-15"/>
          <w:sz w:val="24"/>
        </w:rPr>
        <w:t> </w:t>
      </w:r>
      <w:r>
        <w:rPr>
          <w:sz w:val="24"/>
        </w:rPr>
        <w:t>insured</w:t>
      </w:r>
      <w:r>
        <w:rPr>
          <w:spacing w:val="-17"/>
          <w:sz w:val="24"/>
        </w:rPr>
        <w:t> </w:t>
      </w:r>
      <w:r>
        <w:rPr>
          <w:sz w:val="24"/>
        </w:rPr>
        <w:t>on</w:t>
      </w:r>
      <w:r>
        <w:rPr>
          <w:spacing w:val="-15"/>
          <w:sz w:val="24"/>
        </w:rPr>
        <w:t> </w:t>
      </w:r>
      <w:r>
        <w:rPr>
          <w:sz w:val="24"/>
        </w:rPr>
        <w:t>such</w:t>
      </w:r>
      <w:r>
        <w:rPr>
          <w:spacing w:val="-15"/>
          <w:sz w:val="24"/>
        </w:rPr>
        <w:t> </w:t>
      </w:r>
      <w:r>
        <w:rPr>
          <w:sz w:val="24"/>
        </w:rPr>
        <w:t>policy.</w:t>
      </w:r>
      <w:r>
        <w:rPr>
          <w:spacing w:val="-15"/>
          <w:sz w:val="24"/>
        </w:rPr>
        <w:t> </w:t>
      </w:r>
      <w:r>
        <w:rPr>
          <w:sz w:val="24"/>
        </w:rPr>
        <w:t>Upon</w:t>
      </w:r>
      <w:r>
        <w:rPr>
          <w:spacing w:val="-15"/>
          <w:sz w:val="24"/>
        </w:rPr>
        <w:t> </w:t>
      </w:r>
      <w:r>
        <w:rPr>
          <w:sz w:val="24"/>
        </w:rPr>
        <w:t>request,</w:t>
      </w:r>
      <w:r>
        <w:rPr>
          <w:spacing w:val="-16"/>
          <w:sz w:val="24"/>
        </w:rPr>
        <w:t> </w:t>
      </w:r>
      <w:r>
        <w:rPr>
          <w:sz w:val="24"/>
        </w:rPr>
        <w:t>Buyer shall provide Seller with certificates of insurance reflecting such coverage from time to</w:t>
      </w:r>
      <w:r>
        <w:rPr>
          <w:spacing w:val="-20"/>
          <w:sz w:val="24"/>
        </w:rPr>
        <w:t> </w:t>
      </w:r>
      <w:r>
        <w:rPr>
          <w:sz w:val="24"/>
        </w:rPr>
        <w:t>time.</w:t>
      </w:r>
    </w:p>
    <w:p>
      <w:pPr>
        <w:pStyle w:val="BodyText"/>
      </w:pPr>
    </w:p>
    <w:p>
      <w:pPr>
        <w:pStyle w:val="ListParagraph"/>
        <w:numPr>
          <w:ilvl w:val="0"/>
          <w:numId w:val="1"/>
        </w:numPr>
        <w:tabs>
          <w:tab w:pos="2460" w:val="left" w:leader="none"/>
        </w:tabs>
        <w:spacing w:line="240" w:lineRule="auto" w:before="0" w:after="0"/>
        <w:ind w:left="299" w:right="177" w:firstLine="1500"/>
        <w:jc w:val="both"/>
        <w:rPr>
          <w:sz w:val="24"/>
        </w:rPr>
      </w:pPr>
      <w:r>
        <w:rPr>
          <w:sz w:val="24"/>
          <w:u w:val="single"/>
        </w:rPr>
        <w:t>Miscellaneous</w:t>
      </w:r>
      <w:r>
        <w:rPr>
          <w:sz w:val="24"/>
        </w:rPr>
        <w:t>. This Addendum shall be governed by, and construed in accordance with, the laws of the jurisdiction governing the Agreement. This Addendum may be executed</w:t>
      </w:r>
      <w:r>
        <w:rPr>
          <w:spacing w:val="-13"/>
          <w:sz w:val="24"/>
        </w:rPr>
        <w:t> </w:t>
      </w:r>
      <w:r>
        <w:rPr>
          <w:sz w:val="24"/>
        </w:rPr>
        <w:t>simultaneously</w:t>
      </w:r>
      <w:r>
        <w:rPr>
          <w:spacing w:val="-12"/>
          <w:sz w:val="24"/>
        </w:rPr>
        <w:t> </w:t>
      </w:r>
      <w:r>
        <w:rPr>
          <w:sz w:val="24"/>
        </w:rPr>
        <w:t>or</w:t>
      </w:r>
      <w:r>
        <w:rPr>
          <w:spacing w:val="-12"/>
          <w:sz w:val="24"/>
        </w:rPr>
        <w:t> </w:t>
      </w:r>
      <w:r>
        <w:rPr>
          <w:sz w:val="24"/>
        </w:rPr>
        <w:t>in</w:t>
      </w:r>
      <w:r>
        <w:rPr>
          <w:spacing w:val="-12"/>
          <w:sz w:val="24"/>
        </w:rPr>
        <w:t> </w:t>
      </w:r>
      <w:r>
        <w:rPr>
          <w:sz w:val="24"/>
        </w:rPr>
        <w:t>counterparts,</w:t>
      </w:r>
      <w:r>
        <w:rPr>
          <w:spacing w:val="-12"/>
          <w:sz w:val="24"/>
        </w:rPr>
        <w:t> </w:t>
      </w:r>
      <w:r>
        <w:rPr>
          <w:sz w:val="24"/>
        </w:rPr>
        <w:t>each</w:t>
      </w:r>
      <w:r>
        <w:rPr>
          <w:spacing w:val="-13"/>
          <w:sz w:val="24"/>
        </w:rPr>
        <w:t> </w:t>
      </w:r>
      <w:r>
        <w:rPr>
          <w:sz w:val="24"/>
        </w:rPr>
        <w:t>of</w:t>
      </w:r>
      <w:r>
        <w:rPr>
          <w:spacing w:val="-12"/>
          <w:sz w:val="24"/>
        </w:rPr>
        <w:t> </w:t>
      </w:r>
      <w:r>
        <w:rPr>
          <w:sz w:val="24"/>
        </w:rPr>
        <w:t>which</w:t>
      </w:r>
      <w:r>
        <w:rPr>
          <w:spacing w:val="-12"/>
          <w:sz w:val="24"/>
        </w:rPr>
        <w:t> </w:t>
      </w:r>
      <w:r>
        <w:rPr>
          <w:sz w:val="24"/>
        </w:rPr>
        <w:t>counterpart</w:t>
      </w:r>
      <w:r>
        <w:rPr>
          <w:spacing w:val="-12"/>
          <w:sz w:val="24"/>
        </w:rPr>
        <w:t> </w:t>
      </w:r>
      <w:r>
        <w:rPr>
          <w:sz w:val="24"/>
        </w:rPr>
        <w:t>shall</w:t>
      </w:r>
      <w:r>
        <w:rPr>
          <w:spacing w:val="-12"/>
          <w:sz w:val="24"/>
        </w:rPr>
        <w:t> </w:t>
      </w:r>
      <w:r>
        <w:rPr>
          <w:sz w:val="24"/>
        </w:rPr>
        <w:t>be</w:t>
      </w:r>
      <w:r>
        <w:rPr>
          <w:spacing w:val="-12"/>
          <w:sz w:val="24"/>
        </w:rPr>
        <w:t> </w:t>
      </w:r>
      <w:r>
        <w:rPr>
          <w:sz w:val="24"/>
        </w:rPr>
        <w:t>deemed</w:t>
      </w:r>
      <w:r>
        <w:rPr>
          <w:spacing w:val="-12"/>
          <w:sz w:val="24"/>
        </w:rPr>
        <w:t> </w:t>
      </w:r>
      <w:r>
        <w:rPr>
          <w:sz w:val="24"/>
        </w:rPr>
        <w:t>an</w:t>
      </w:r>
      <w:r>
        <w:rPr>
          <w:spacing w:val="-12"/>
          <w:sz w:val="24"/>
        </w:rPr>
        <w:t> </w:t>
      </w:r>
      <w:r>
        <w:rPr>
          <w:sz w:val="24"/>
        </w:rPr>
        <w:t>original, but</w:t>
      </w:r>
      <w:r>
        <w:rPr>
          <w:spacing w:val="-10"/>
          <w:sz w:val="24"/>
        </w:rPr>
        <w:t> </w:t>
      </w:r>
      <w:r>
        <w:rPr>
          <w:sz w:val="24"/>
        </w:rPr>
        <w:t>all</w:t>
      </w:r>
      <w:r>
        <w:rPr>
          <w:spacing w:val="-9"/>
          <w:sz w:val="24"/>
        </w:rPr>
        <w:t> </w:t>
      </w:r>
      <w:r>
        <w:rPr>
          <w:sz w:val="24"/>
        </w:rPr>
        <w:t>of</w:t>
      </w:r>
      <w:r>
        <w:rPr>
          <w:spacing w:val="-11"/>
          <w:sz w:val="24"/>
        </w:rPr>
        <w:t> </w:t>
      </w:r>
      <w:r>
        <w:rPr>
          <w:sz w:val="24"/>
        </w:rPr>
        <w:t>which</w:t>
      </w:r>
      <w:r>
        <w:rPr>
          <w:spacing w:val="-10"/>
          <w:sz w:val="24"/>
        </w:rPr>
        <w:t> </w:t>
      </w:r>
      <w:r>
        <w:rPr>
          <w:sz w:val="24"/>
        </w:rPr>
        <w:t>together</w:t>
      </w:r>
      <w:r>
        <w:rPr>
          <w:spacing w:val="-11"/>
          <w:sz w:val="24"/>
        </w:rPr>
        <w:t> </w:t>
      </w:r>
      <w:r>
        <w:rPr>
          <w:sz w:val="24"/>
        </w:rPr>
        <w:t>shall</w:t>
      </w:r>
      <w:r>
        <w:rPr>
          <w:spacing w:val="-9"/>
          <w:sz w:val="24"/>
        </w:rPr>
        <w:t> </w:t>
      </w:r>
      <w:r>
        <w:rPr>
          <w:sz w:val="24"/>
        </w:rPr>
        <w:t>constitute</w:t>
      </w:r>
      <w:r>
        <w:rPr>
          <w:spacing w:val="-11"/>
          <w:sz w:val="24"/>
        </w:rPr>
        <w:t> </w:t>
      </w:r>
      <w:r>
        <w:rPr>
          <w:sz w:val="24"/>
        </w:rPr>
        <w:t>one</w:t>
      </w:r>
      <w:r>
        <w:rPr>
          <w:spacing w:val="-10"/>
          <w:sz w:val="24"/>
        </w:rPr>
        <w:t> </w:t>
      </w:r>
      <w:r>
        <w:rPr>
          <w:sz w:val="24"/>
        </w:rPr>
        <w:t>and</w:t>
      </w:r>
      <w:r>
        <w:rPr>
          <w:spacing w:val="-10"/>
          <w:sz w:val="24"/>
        </w:rPr>
        <w:t> </w:t>
      </w:r>
      <w:r>
        <w:rPr>
          <w:sz w:val="24"/>
        </w:rPr>
        <w:t>the</w:t>
      </w:r>
      <w:r>
        <w:rPr>
          <w:spacing w:val="-10"/>
          <w:sz w:val="24"/>
        </w:rPr>
        <w:t> </w:t>
      </w:r>
      <w:r>
        <w:rPr>
          <w:sz w:val="24"/>
        </w:rPr>
        <w:t>same</w:t>
      </w:r>
      <w:r>
        <w:rPr>
          <w:spacing w:val="-8"/>
          <w:sz w:val="24"/>
        </w:rPr>
        <w:t> </w:t>
      </w:r>
      <w:r>
        <w:rPr>
          <w:sz w:val="24"/>
        </w:rPr>
        <w:t>Addendum.</w:t>
      </w:r>
      <w:r>
        <w:rPr>
          <w:spacing w:val="-9"/>
          <w:sz w:val="24"/>
        </w:rPr>
        <w:t> </w:t>
      </w:r>
      <w:r>
        <w:rPr>
          <w:sz w:val="24"/>
        </w:rPr>
        <w:t>Facsimile</w:t>
      </w:r>
      <w:r>
        <w:rPr>
          <w:spacing w:val="-11"/>
          <w:sz w:val="24"/>
        </w:rPr>
        <w:t> </w:t>
      </w:r>
      <w:r>
        <w:rPr>
          <w:sz w:val="24"/>
        </w:rPr>
        <w:t>signatures</w:t>
      </w:r>
      <w:r>
        <w:rPr>
          <w:spacing w:val="-10"/>
          <w:sz w:val="24"/>
        </w:rPr>
        <w:t> </w:t>
      </w:r>
      <w:r>
        <w:rPr>
          <w:sz w:val="24"/>
        </w:rPr>
        <w:t>and/or electronically transmitted pdf files of this Addendum are valid and carry the same effect as an original signature. This Addendum shall be deemed a part of the Agreement as if fully set forth therein.</w:t>
      </w:r>
      <w:r>
        <w:rPr>
          <w:spacing w:val="-15"/>
          <w:sz w:val="24"/>
        </w:rPr>
        <w:t> </w:t>
      </w:r>
      <w:r>
        <w:rPr>
          <w:sz w:val="24"/>
        </w:rPr>
        <w:t>Any</w:t>
      </w:r>
      <w:r>
        <w:rPr>
          <w:spacing w:val="-15"/>
          <w:sz w:val="24"/>
        </w:rPr>
        <w:t> </w:t>
      </w:r>
      <w:r>
        <w:rPr>
          <w:sz w:val="24"/>
        </w:rPr>
        <w:t>notice</w:t>
      </w:r>
      <w:r>
        <w:rPr>
          <w:spacing w:val="-14"/>
          <w:sz w:val="24"/>
        </w:rPr>
        <w:t> </w:t>
      </w:r>
      <w:r>
        <w:rPr>
          <w:sz w:val="24"/>
        </w:rPr>
        <w:t>provided</w:t>
      </w:r>
      <w:r>
        <w:rPr>
          <w:spacing w:val="-15"/>
          <w:sz w:val="24"/>
        </w:rPr>
        <w:t> </w:t>
      </w:r>
      <w:r>
        <w:rPr>
          <w:sz w:val="24"/>
        </w:rPr>
        <w:t>under</w:t>
      </w:r>
      <w:r>
        <w:rPr>
          <w:spacing w:val="-14"/>
          <w:sz w:val="24"/>
        </w:rPr>
        <w:t> </w:t>
      </w:r>
      <w:r>
        <w:rPr>
          <w:sz w:val="24"/>
        </w:rPr>
        <w:t>this</w:t>
      </w:r>
      <w:r>
        <w:rPr>
          <w:spacing w:val="-14"/>
          <w:sz w:val="24"/>
        </w:rPr>
        <w:t> </w:t>
      </w:r>
      <w:r>
        <w:rPr>
          <w:sz w:val="24"/>
        </w:rPr>
        <w:t>Addendum</w:t>
      </w:r>
      <w:r>
        <w:rPr>
          <w:spacing w:val="-14"/>
          <w:sz w:val="24"/>
        </w:rPr>
        <w:t> </w:t>
      </w:r>
      <w:r>
        <w:rPr>
          <w:sz w:val="24"/>
        </w:rPr>
        <w:t>shall</w:t>
      </w:r>
      <w:r>
        <w:rPr>
          <w:spacing w:val="-14"/>
          <w:sz w:val="24"/>
        </w:rPr>
        <w:t> </w:t>
      </w:r>
      <w:r>
        <w:rPr>
          <w:sz w:val="24"/>
        </w:rPr>
        <w:t>be</w:t>
      </w:r>
      <w:r>
        <w:rPr>
          <w:spacing w:val="-14"/>
          <w:sz w:val="24"/>
        </w:rPr>
        <w:t> </w:t>
      </w:r>
      <w:r>
        <w:rPr>
          <w:sz w:val="24"/>
        </w:rPr>
        <w:t>provided</w:t>
      </w:r>
      <w:r>
        <w:rPr>
          <w:spacing w:val="-15"/>
          <w:sz w:val="24"/>
        </w:rPr>
        <w:t> </w:t>
      </w:r>
      <w:r>
        <w:rPr>
          <w:sz w:val="24"/>
        </w:rPr>
        <w:t>in</w:t>
      </w:r>
      <w:r>
        <w:rPr>
          <w:spacing w:val="-16"/>
          <w:sz w:val="24"/>
        </w:rPr>
        <w:t> </w:t>
      </w:r>
      <w:r>
        <w:rPr>
          <w:sz w:val="24"/>
        </w:rPr>
        <w:t>the</w:t>
      </w:r>
      <w:r>
        <w:rPr>
          <w:spacing w:val="-16"/>
          <w:sz w:val="24"/>
        </w:rPr>
        <w:t> </w:t>
      </w:r>
      <w:r>
        <w:rPr>
          <w:sz w:val="24"/>
        </w:rPr>
        <w:t>same</w:t>
      </w:r>
      <w:r>
        <w:rPr>
          <w:spacing w:val="-12"/>
          <w:sz w:val="24"/>
        </w:rPr>
        <w:t> </w:t>
      </w:r>
      <w:r>
        <w:rPr>
          <w:sz w:val="24"/>
        </w:rPr>
        <w:t>manner</w:t>
      </w:r>
      <w:r>
        <w:rPr>
          <w:spacing w:val="-14"/>
          <w:sz w:val="24"/>
        </w:rPr>
        <w:t> </w:t>
      </w:r>
      <w:r>
        <w:rPr>
          <w:sz w:val="24"/>
        </w:rPr>
        <w:t>and</w:t>
      </w:r>
      <w:r>
        <w:rPr>
          <w:spacing w:val="-15"/>
          <w:sz w:val="24"/>
        </w:rPr>
        <w:t> </w:t>
      </w:r>
      <w:r>
        <w:rPr>
          <w:sz w:val="24"/>
        </w:rPr>
        <w:t>under the same terms as set forth in the</w:t>
      </w:r>
      <w:r>
        <w:rPr>
          <w:spacing w:val="-2"/>
          <w:sz w:val="24"/>
        </w:rPr>
        <w:t> </w:t>
      </w:r>
      <w:r>
        <w:rPr>
          <w:sz w:val="24"/>
        </w:rPr>
        <w:t>Agreement.</w:t>
      </w:r>
    </w:p>
    <w:p>
      <w:pPr>
        <w:spacing w:after="0" w:line="240" w:lineRule="auto"/>
        <w:jc w:val="both"/>
        <w:rPr>
          <w:sz w:val="24"/>
        </w:rPr>
        <w:sectPr>
          <w:pgSz w:w="12240" w:h="15840"/>
          <w:pgMar w:header="0" w:footer="1152" w:top="1360" w:bottom="1480" w:left="1140" w:right="1260"/>
        </w:sectPr>
      </w:pPr>
    </w:p>
    <w:p>
      <w:pPr>
        <w:pStyle w:val="BodyText"/>
        <w:spacing w:before="76" w:after="11"/>
        <w:ind w:left="1020"/>
      </w:pPr>
      <w:r>
        <w:rPr/>
        <w:t>IN WITNESS WHEREOF, the parties hereto have executed this Addendum as of the date</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9"/>
        <w:gridCol w:w="3225"/>
      </w:tblGrid>
      <w:tr>
        <w:trPr>
          <w:trHeight w:val="546" w:hRule="atLeast"/>
        </w:trPr>
        <w:tc>
          <w:tcPr>
            <w:tcW w:w="6384" w:type="dxa"/>
            <w:gridSpan w:val="2"/>
          </w:tcPr>
          <w:p>
            <w:pPr>
              <w:pStyle w:val="TableParagraph"/>
              <w:spacing w:line="266" w:lineRule="exact" w:before="0"/>
              <w:rPr>
                <w:sz w:val="24"/>
              </w:rPr>
            </w:pPr>
            <w:r>
              <w:rPr>
                <w:sz w:val="24"/>
              </w:rPr>
              <w:t>set forth above.</w:t>
            </w:r>
          </w:p>
        </w:tc>
      </w:tr>
      <w:tr>
        <w:trPr>
          <w:trHeight w:val="828" w:hRule="atLeast"/>
        </w:trPr>
        <w:tc>
          <w:tcPr>
            <w:tcW w:w="3159" w:type="dxa"/>
          </w:tcPr>
          <w:p>
            <w:pPr>
              <w:pStyle w:val="TableParagraph"/>
              <w:spacing w:before="6"/>
              <w:ind w:left="0"/>
              <w:rPr>
                <w:sz w:val="23"/>
              </w:rPr>
            </w:pPr>
          </w:p>
          <w:p>
            <w:pPr>
              <w:pStyle w:val="TableParagraph"/>
              <w:spacing w:before="0"/>
              <w:rPr>
                <w:sz w:val="24"/>
              </w:rPr>
            </w:pPr>
            <w:r>
              <w:rPr>
                <w:sz w:val="24"/>
              </w:rPr>
              <w:t>BUYER:</w:t>
            </w:r>
          </w:p>
        </w:tc>
        <w:tc>
          <w:tcPr>
            <w:tcW w:w="3225" w:type="dxa"/>
          </w:tcPr>
          <w:p>
            <w:pPr>
              <w:pStyle w:val="TableParagraph"/>
              <w:spacing w:before="6"/>
              <w:ind w:left="0"/>
              <w:rPr>
                <w:sz w:val="23"/>
              </w:rPr>
            </w:pPr>
          </w:p>
          <w:p>
            <w:pPr>
              <w:pStyle w:val="TableParagraph"/>
              <w:spacing w:before="0"/>
              <w:ind w:left="2081"/>
              <w:rPr>
                <w:sz w:val="24"/>
              </w:rPr>
            </w:pPr>
            <w:r>
              <w:rPr>
                <w:sz w:val="24"/>
              </w:rPr>
              <w:t>SELLER:</w:t>
            </w:r>
          </w:p>
        </w:tc>
      </w:tr>
      <w:tr>
        <w:trPr>
          <w:trHeight w:val="1512" w:hRule="atLeast"/>
        </w:trPr>
        <w:tc>
          <w:tcPr>
            <w:tcW w:w="3159" w:type="dxa"/>
          </w:tcPr>
          <w:p>
            <w:pPr>
              <w:pStyle w:val="TableParagraph"/>
              <w:tabs>
                <w:tab w:pos="4519" w:val="left" w:leader="none"/>
              </w:tabs>
              <w:spacing w:line="410" w:lineRule="atLeast" w:before="137"/>
              <w:ind w:right="-1368"/>
              <w:jc w:val="both"/>
              <w:rPr>
                <w:sz w:val="24"/>
              </w:rPr>
            </w:pPr>
            <w:r>
              <w:rPr>
                <w:sz w:val="24"/>
              </w:rPr>
              <w:t>By:</w:t>
            </w:r>
            <w:r>
              <w:rPr>
                <w:sz w:val="24"/>
                <w:u w:val="single"/>
              </w:rPr>
              <w:tab/>
            </w:r>
            <w:r>
              <w:rPr>
                <w:sz w:val="24"/>
              </w:rPr>
              <w:t> Name:</w:t>
            </w:r>
            <w:r>
              <w:rPr>
                <w:sz w:val="24"/>
                <w:u w:val="single"/>
              </w:rPr>
              <w:tab/>
            </w:r>
            <w:r>
              <w:rPr>
                <w:sz w:val="24"/>
              </w:rPr>
              <w:t> Title:</w:t>
            </w:r>
            <w:r>
              <w:rPr>
                <w:sz w:val="24"/>
                <w:u w:val="single"/>
              </w:rPr>
              <w:t> </w:t>
              <w:tab/>
            </w:r>
          </w:p>
        </w:tc>
        <w:tc>
          <w:tcPr>
            <w:tcW w:w="3225" w:type="dxa"/>
          </w:tcPr>
          <w:p>
            <w:pPr>
              <w:pStyle w:val="TableParagraph"/>
              <w:spacing w:before="10"/>
              <w:ind w:left="0"/>
              <w:rPr>
                <w:sz w:val="23"/>
              </w:rPr>
            </w:pPr>
          </w:p>
          <w:p>
            <w:pPr>
              <w:pStyle w:val="TableParagraph"/>
              <w:tabs>
                <w:tab w:pos="6400" w:val="left" w:leader="none"/>
              </w:tabs>
              <w:spacing w:line="410" w:lineRule="atLeast" w:before="0"/>
              <w:ind w:left="2081" w:right="-3183"/>
              <w:jc w:val="both"/>
              <w:rPr>
                <w:sz w:val="24"/>
              </w:rPr>
            </w:pPr>
            <w:r>
              <w:rPr>
                <w:sz w:val="24"/>
              </w:rPr>
              <w:t>By:</w:t>
            </w:r>
            <w:r>
              <w:rPr>
                <w:sz w:val="24"/>
                <w:u w:val="single"/>
              </w:rPr>
              <w:tab/>
            </w:r>
            <w:r>
              <w:rPr>
                <w:sz w:val="24"/>
              </w:rPr>
              <w:t> Name:</w:t>
            </w:r>
            <w:r>
              <w:rPr>
                <w:sz w:val="24"/>
                <w:u w:val="single"/>
              </w:rPr>
              <w:tab/>
            </w:r>
            <w:r>
              <w:rPr>
                <w:sz w:val="24"/>
              </w:rPr>
              <w:t> Title:</w:t>
            </w:r>
            <w:r>
              <w:rPr>
                <w:sz w:val="24"/>
                <w:u w:val="single"/>
              </w:rPr>
              <w:t> </w:t>
              <w:tab/>
            </w:r>
          </w:p>
        </w:tc>
      </w:tr>
    </w:tbl>
    <w:sectPr>
      <w:pgSz w:w="12240" w:h="15840"/>
      <w:pgMar w:header="0" w:footer="1152" w:top="1360" w:bottom="1480" w:left="11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5920">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9.399994pt;margin-top:727.849792pt;width:13.25pt;height:15.6pt;mso-position-horizontal-relative:page;mso-position-vertical-relative:page;z-index:-15810048" type="#_x0000_t202" filled="false" stroked="false">
          <v:textbox inset="0,0,0,0">
            <w:txbxContent>
              <w:p>
                <w:pPr>
                  <w:pStyle w:val="BodyText"/>
                  <w:spacing w:before="20"/>
                  <w:ind w:left="60"/>
                  <w:rPr>
                    <w:rFonts w:ascii="Courier New"/>
                  </w:rPr>
                </w:pPr>
                <w:r>
                  <w:rPr/>
                  <w:fldChar w:fldCharType="begin"/>
                </w:r>
                <w:r>
                  <w:rPr>
                    <w:rFonts w:ascii="Courier New"/>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460" w:hanging="1440"/>
      </w:pPr>
      <w:rPr>
        <w:rFonts w:hint="default" w:ascii="Segoe UI Symbol" w:hAnsi="Segoe UI Symbol" w:eastAsia="Segoe UI Symbol" w:cs="Segoe UI Symbol"/>
        <w:w w:val="100"/>
        <w:sz w:val="24"/>
        <w:szCs w:val="24"/>
        <w:lang w:val="en-US" w:eastAsia="en-US" w:bidi="ar-SA"/>
      </w:rPr>
    </w:lvl>
    <w:lvl w:ilvl="1">
      <w:start w:val="0"/>
      <w:numFmt w:val="bullet"/>
      <w:lvlText w:val="•"/>
      <w:lvlJc w:val="left"/>
      <w:pPr>
        <w:ind w:left="3198" w:hanging="1440"/>
      </w:pPr>
      <w:rPr>
        <w:rFonts w:hint="default"/>
        <w:lang w:val="en-US" w:eastAsia="en-US" w:bidi="ar-SA"/>
      </w:rPr>
    </w:lvl>
    <w:lvl w:ilvl="2">
      <w:start w:val="0"/>
      <w:numFmt w:val="bullet"/>
      <w:lvlText w:val="•"/>
      <w:lvlJc w:val="left"/>
      <w:pPr>
        <w:ind w:left="3936" w:hanging="1440"/>
      </w:pPr>
      <w:rPr>
        <w:rFonts w:hint="default"/>
        <w:lang w:val="en-US" w:eastAsia="en-US" w:bidi="ar-SA"/>
      </w:rPr>
    </w:lvl>
    <w:lvl w:ilvl="3">
      <w:start w:val="0"/>
      <w:numFmt w:val="bullet"/>
      <w:lvlText w:val="•"/>
      <w:lvlJc w:val="left"/>
      <w:pPr>
        <w:ind w:left="4674" w:hanging="1440"/>
      </w:pPr>
      <w:rPr>
        <w:rFonts w:hint="default"/>
        <w:lang w:val="en-US" w:eastAsia="en-US" w:bidi="ar-SA"/>
      </w:rPr>
    </w:lvl>
    <w:lvl w:ilvl="4">
      <w:start w:val="0"/>
      <w:numFmt w:val="bullet"/>
      <w:lvlText w:val="•"/>
      <w:lvlJc w:val="left"/>
      <w:pPr>
        <w:ind w:left="5412" w:hanging="1440"/>
      </w:pPr>
      <w:rPr>
        <w:rFonts w:hint="default"/>
        <w:lang w:val="en-US" w:eastAsia="en-US" w:bidi="ar-SA"/>
      </w:rPr>
    </w:lvl>
    <w:lvl w:ilvl="5">
      <w:start w:val="0"/>
      <w:numFmt w:val="bullet"/>
      <w:lvlText w:val="•"/>
      <w:lvlJc w:val="left"/>
      <w:pPr>
        <w:ind w:left="6150" w:hanging="1440"/>
      </w:pPr>
      <w:rPr>
        <w:rFonts w:hint="default"/>
        <w:lang w:val="en-US" w:eastAsia="en-US" w:bidi="ar-SA"/>
      </w:rPr>
    </w:lvl>
    <w:lvl w:ilvl="6">
      <w:start w:val="0"/>
      <w:numFmt w:val="bullet"/>
      <w:lvlText w:val="•"/>
      <w:lvlJc w:val="left"/>
      <w:pPr>
        <w:ind w:left="6888" w:hanging="1440"/>
      </w:pPr>
      <w:rPr>
        <w:rFonts w:hint="default"/>
        <w:lang w:val="en-US" w:eastAsia="en-US" w:bidi="ar-SA"/>
      </w:rPr>
    </w:lvl>
    <w:lvl w:ilvl="7">
      <w:start w:val="0"/>
      <w:numFmt w:val="bullet"/>
      <w:lvlText w:val="•"/>
      <w:lvlJc w:val="left"/>
      <w:pPr>
        <w:ind w:left="7626" w:hanging="1440"/>
      </w:pPr>
      <w:rPr>
        <w:rFonts w:hint="default"/>
        <w:lang w:val="en-US" w:eastAsia="en-US" w:bidi="ar-SA"/>
      </w:rPr>
    </w:lvl>
    <w:lvl w:ilvl="8">
      <w:start w:val="0"/>
      <w:numFmt w:val="bullet"/>
      <w:lvlText w:val="•"/>
      <w:lvlJc w:val="left"/>
      <w:pPr>
        <w:ind w:left="8364" w:hanging="1440"/>
      </w:pPr>
      <w:rPr>
        <w:rFonts w:hint="default"/>
        <w:lang w:val="en-US" w:eastAsia="en-US" w:bidi="ar-SA"/>
      </w:rPr>
    </w:lvl>
  </w:abstractNum>
  <w:abstractNum w:abstractNumId="0">
    <w:multiLevelType w:val="hybridMultilevel"/>
    <w:lvl w:ilvl="0">
      <w:start w:val="1"/>
      <w:numFmt w:val="decimal"/>
      <w:lvlText w:val="%1."/>
      <w:lvlJc w:val="left"/>
      <w:pPr>
        <w:ind w:left="300" w:hanging="72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254" w:hanging="720"/>
      </w:pPr>
      <w:rPr>
        <w:rFonts w:hint="default"/>
        <w:lang w:val="en-US" w:eastAsia="en-US" w:bidi="ar-SA"/>
      </w:rPr>
    </w:lvl>
    <w:lvl w:ilvl="2">
      <w:start w:val="0"/>
      <w:numFmt w:val="bullet"/>
      <w:lvlText w:val="•"/>
      <w:lvlJc w:val="left"/>
      <w:pPr>
        <w:ind w:left="2208" w:hanging="720"/>
      </w:pPr>
      <w:rPr>
        <w:rFonts w:hint="default"/>
        <w:lang w:val="en-US" w:eastAsia="en-US" w:bidi="ar-SA"/>
      </w:rPr>
    </w:lvl>
    <w:lvl w:ilvl="3">
      <w:start w:val="0"/>
      <w:numFmt w:val="bullet"/>
      <w:lvlText w:val="•"/>
      <w:lvlJc w:val="left"/>
      <w:pPr>
        <w:ind w:left="3162" w:hanging="720"/>
      </w:pPr>
      <w:rPr>
        <w:rFonts w:hint="default"/>
        <w:lang w:val="en-US" w:eastAsia="en-US" w:bidi="ar-SA"/>
      </w:rPr>
    </w:lvl>
    <w:lvl w:ilvl="4">
      <w:start w:val="0"/>
      <w:numFmt w:val="bullet"/>
      <w:lvlText w:val="•"/>
      <w:lvlJc w:val="left"/>
      <w:pPr>
        <w:ind w:left="4116" w:hanging="720"/>
      </w:pPr>
      <w:rPr>
        <w:rFonts w:hint="default"/>
        <w:lang w:val="en-US" w:eastAsia="en-US" w:bidi="ar-SA"/>
      </w:rPr>
    </w:lvl>
    <w:lvl w:ilvl="5">
      <w:start w:val="0"/>
      <w:numFmt w:val="bullet"/>
      <w:lvlText w:val="•"/>
      <w:lvlJc w:val="left"/>
      <w:pPr>
        <w:ind w:left="5070" w:hanging="720"/>
      </w:pPr>
      <w:rPr>
        <w:rFonts w:hint="default"/>
        <w:lang w:val="en-US" w:eastAsia="en-US" w:bidi="ar-SA"/>
      </w:rPr>
    </w:lvl>
    <w:lvl w:ilvl="6">
      <w:start w:val="0"/>
      <w:numFmt w:val="bullet"/>
      <w:lvlText w:val="•"/>
      <w:lvlJc w:val="left"/>
      <w:pPr>
        <w:ind w:left="6024" w:hanging="720"/>
      </w:pPr>
      <w:rPr>
        <w:rFonts w:hint="default"/>
        <w:lang w:val="en-US" w:eastAsia="en-US" w:bidi="ar-SA"/>
      </w:rPr>
    </w:lvl>
    <w:lvl w:ilvl="7">
      <w:start w:val="0"/>
      <w:numFmt w:val="bullet"/>
      <w:lvlText w:val="•"/>
      <w:lvlJc w:val="left"/>
      <w:pPr>
        <w:ind w:left="6978" w:hanging="720"/>
      </w:pPr>
      <w:rPr>
        <w:rFonts w:hint="default"/>
        <w:lang w:val="en-US" w:eastAsia="en-US" w:bidi="ar-SA"/>
      </w:rPr>
    </w:lvl>
    <w:lvl w:ilvl="8">
      <w:start w:val="0"/>
      <w:numFmt w:val="bullet"/>
      <w:lvlText w:val="•"/>
      <w:lvlJc w:val="left"/>
      <w:pPr>
        <w:ind w:left="7932" w:hanging="72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9"/>
      <w:ind w:left="3018" w:right="2901"/>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2460" w:right="177" w:hanging="144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133"/>
      <w:ind w:left="20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Seller Financing Addendum Template</dc:subject>
  <dc:title>Seller Financing Addendum Form</dc:title>
  <dcterms:created xsi:type="dcterms:W3CDTF">2021-05-17T16:16:36Z</dcterms:created>
  <dcterms:modified xsi:type="dcterms:W3CDTF">2021-05-17T16:16:36Z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ies>
</file>